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50F" w:rsidRPr="00EF750F" w:rsidRDefault="00EF750F" w:rsidP="00EF750F">
      <w:pPr>
        <w:pBdr>
          <w:bottom w:val="single" w:sz="6" w:space="4" w:color="D8D2BD"/>
        </w:pBdr>
        <w:shd w:val="clear" w:color="auto" w:fill="FFFFFF"/>
        <w:spacing w:before="15" w:after="0" w:line="218" w:lineRule="atLeast"/>
        <w:outlineLvl w:val="0"/>
        <w:rPr>
          <w:rFonts w:ascii="Tahoma" w:eastAsia="Times New Roman" w:hAnsi="Tahoma" w:cs="Tahoma"/>
          <w:b/>
          <w:bCs/>
          <w:color w:val="A92510"/>
          <w:kern w:val="36"/>
          <w:sz w:val="20"/>
          <w:szCs w:val="20"/>
          <w:lang w:eastAsia="ru-RU"/>
        </w:rPr>
      </w:pPr>
      <w:r w:rsidRPr="00EF750F">
        <w:rPr>
          <w:rFonts w:ascii="Tahoma" w:eastAsia="Times New Roman" w:hAnsi="Tahoma" w:cs="Tahoma"/>
          <w:b/>
          <w:bCs/>
          <w:color w:val="A92510"/>
          <w:kern w:val="36"/>
          <w:sz w:val="20"/>
          <w:szCs w:val="20"/>
          <w:lang w:eastAsia="ru-RU"/>
        </w:rPr>
        <w:t>Итоги деятельности Управления природных ресурсов и экологии Ненецкого автономного округа за 2012 год</w:t>
      </w:r>
    </w:p>
    <w:p w:rsidR="00EF750F" w:rsidRPr="00EF750F" w:rsidRDefault="00EF750F" w:rsidP="00EF750F">
      <w:pPr>
        <w:spacing w:after="0" w:line="240" w:lineRule="auto"/>
        <w:rPr>
          <w:rFonts w:ascii="Times New Roman" w:eastAsia="Times New Roman" w:hAnsi="Times New Roman" w:cs="Times New Roman"/>
          <w:sz w:val="24"/>
          <w:szCs w:val="24"/>
          <w:lang w:eastAsia="ru-RU"/>
        </w:rPr>
      </w:pP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proofErr w:type="gramStart"/>
      <w:r w:rsidRPr="00EF750F">
        <w:rPr>
          <w:rFonts w:ascii="Tahoma" w:eastAsia="Times New Roman" w:hAnsi="Tahoma" w:cs="Tahoma"/>
          <w:color w:val="252525"/>
          <w:sz w:val="17"/>
          <w:szCs w:val="17"/>
          <w:lang w:eastAsia="ru-RU"/>
        </w:rPr>
        <w:t>Управление природных ресурсов и экологии Ненецкого автономного округа (далее Управление)  является органом исполнительной власти Ненецкого автономного округа, действующим на основании Положения об Управлении и осуществляющим в пределах своей компетенции государственное управление и реализацию полномочий Ненецкого автономного округа в области охраны окружающей среды, недропользования, лесопользования и водопользования, охраны и использования объектов животного мира, а также обеспечения экологической безопасности.</w:t>
      </w:r>
      <w:proofErr w:type="gramEnd"/>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В 2012 году по основным направлениям деятельности Управления были достигнуты значимые показатели.</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В рамках осуществления регионального государственного экологического надзора в соответствии со ст. 6 Федерального закона от 10.01.2002 № 7-ФЗ «Об охране окружающей среды» было проведено 22 проверки, выявлено 36 нарушений законодательства, возбуждено 36 дел об административном правонарушении, вынесено 5 постановлений о привлечении к административной ответственности.</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proofErr w:type="gramStart"/>
      <w:r w:rsidRPr="00EF750F">
        <w:rPr>
          <w:rFonts w:ascii="Tahoma" w:eastAsia="Times New Roman" w:hAnsi="Tahoma" w:cs="Tahoma"/>
          <w:color w:val="252525"/>
          <w:sz w:val="17"/>
          <w:szCs w:val="17"/>
          <w:lang w:eastAsia="ru-RU"/>
        </w:rPr>
        <w:t>В рамках системы государственного учета и контроля радиоактивных веществ, предусмотренной п. 7 ст. 11 Федерального закона от 21.11.1995 № 170-ФЗ «Об использовании атомной энергии», Постановлением Правительства РФ от 11.10.1997 № 1298 «Об утверждении правил организации системы государственного учета и контроля радиоактивных веществ и радиоактивных отходов» и приказом Госкорпорации «Росатом» от 31.08.2009 № 600 «Об утверждении и введении в действие форм отчетности в области</w:t>
      </w:r>
      <w:proofErr w:type="gramEnd"/>
      <w:r w:rsidRPr="00EF750F">
        <w:rPr>
          <w:rFonts w:ascii="Tahoma" w:eastAsia="Times New Roman" w:hAnsi="Tahoma" w:cs="Tahoma"/>
          <w:color w:val="252525"/>
          <w:sz w:val="17"/>
          <w:szCs w:val="17"/>
          <w:lang w:eastAsia="ru-RU"/>
        </w:rPr>
        <w:t xml:space="preserve"> государственного учета и контроля радиоактивных веществ и радиоактивных отходов, порядка и сроков предоставления отчетов», ведется  учет и контроль радиоактивных веществ на территории Ненецкого автономного округа, который заключается в сборе отчетности предприятий о результатах инвентаризации радиоактивных веществ и оперативной информации.</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Управление направляет  информацию о результатах инвентаризации радиоактивных веществ и оперативную информацию в ФГУП «Национальный оператор по обращению с радиоактивными отходами», выполняющее функции Центрального и ведомственного информационно-аналитического центров системы государственного учета и контроля радиоактивных веществ и радиоактивных отходов.</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Составлен радиационно-гигиенический паспорт территории Ненецкого автономного округа на 2011 г. Согласно заключению Управления Роспотребнадзора по НАО в 2011 г. радиационная обстановка на территории округа удовлетворительная, превышение основных дозовых пределов не отмечено.</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Важной частью работы Управления является формирование и совершенствование нормативной правовой базы в области охраны окружающей среды. Разработано 3 проекта постановлений Администрации Ненецкого автономного округа, рассмотрено и согласовано 12 проектов федеральных законов, 9 проектов постановлений Правительства РФ, 6 проектов нормативных актов федеральных органов исполнительной власти.</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Улучшилась ситуация в области обращения с отходами на территории НАО. С 2012 года в округе реализуется  ДЦП «Государственная поддержка муниципальных образований по развитию инженерной инфраструктуры в сфере обращения с отходами производства и потребления на 2012-2015 годы», утвержденная постановлением Администрации НАО от 07.11.2011 № 240-п.</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Программа предусматривает субсидирование мероприятий следующих муниципальных программ:</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ДЦП «Поддержка муниципальных образований по развитию инженерной инфраструктуры в сфере обращения с отходами производства и потребления на территории МО «Муниципальный район «Заполярный район» на 2012 – 2015 годы», утвержденная постановлением Администрации МР «Заполярный район» от 03.10.2011 № 1490-п;</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xml:space="preserve">-                       ДЦП «Обращение с отходами производства и потребления на территории муниципального образования «Городской округ «Город Нарьян-Мар на 2012-2015 годы», </w:t>
      </w:r>
      <w:proofErr w:type="gramStart"/>
      <w:r w:rsidRPr="00EF750F">
        <w:rPr>
          <w:rFonts w:ascii="Tahoma" w:eastAsia="Times New Roman" w:hAnsi="Tahoma" w:cs="Tahoma"/>
          <w:color w:val="252525"/>
          <w:sz w:val="17"/>
          <w:szCs w:val="17"/>
          <w:lang w:eastAsia="ru-RU"/>
        </w:rPr>
        <w:t>утвержденная</w:t>
      </w:r>
      <w:proofErr w:type="gramEnd"/>
      <w:r w:rsidRPr="00EF750F">
        <w:rPr>
          <w:rFonts w:ascii="Tahoma" w:eastAsia="Times New Roman" w:hAnsi="Tahoma" w:cs="Tahoma"/>
          <w:color w:val="252525"/>
          <w:sz w:val="17"/>
          <w:szCs w:val="17"/>
          <w:lang w:eastAsia="ru-RU"/>
        </w:rPr>
        <w:t xml:space="preserve"> постановлением Администрации МО «Городской округ «Город Нарьян-Мар» от 02.12.2011 № 2104.</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Первоочередные мероприятия, предусмотренные в рамках программ в городе Нарьян-Маре:</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разработка генеральной схемы санитарной очистки города Нарьян-Мара;</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строительство 2 очереди полигона ТБО с  мусоросортировочной станцией и с комплексом термического обезвреживания медицинских и биологических отходов;</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приобретение установки по утилизации автопокрышек;</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приобретение установки  для сжигания нефтесодержащих отходов;</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ликвидация несанкционированных свалок;</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в сельских населенных пунктах:</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разработка порядка обращения с отходами на территории МР «Заполярный район»;</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разработка муниципальными образованиями района местных нормативных актов по обращению с отходами;</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проектирование  и строительство площадок временного размещения отходов;</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проведение мероприятий по ликвидации несанкционированных свалок в 38 населенных пунктах, по рекультивации земель, нарушенных при стихийном складировании и захоронении бытовых отходов;</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приобретение мобильных и стационарных установок  для сжигания отходов.</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xml:space="preserve">Рабочей группой по решению вопросов утилизации отходов на территории Ненецкого автономного округа рекомендовано использовать будущий полигон в Нарьян-Маре под размещение отходов из близлежащих поселков: Искателей, </w:t>
      </w:r>
      <w:proofErr w:type="gramStart"/>
      <w:r w:rsidRPr="00EF750F">
        <w:rPr>
          <w:rFonts w:ascii="Tahoma" w:eastAsia="Times New Roman" w:hAnsi="Tahoma" w:cs="Tahoma"/>
          <w:color w:val="252525"/>
          <w:sz w:val="17"/>
          <w:szCs w:val="17"/>
          <w:lang w:eastAsia="ru-RU"/>
        </w:rPr>
        <w:t>Красное</w:t>
      </w:r>
      <w:proofErr w:type="gramEnd"/>
      <w:r w:rsidRPr="00EF750F">
        <w:rPr>
          <w:rFonts w:ascii="Tahoma" w:eastAsia="Times New Roman" w:hAnsi="Tahoma" w:cs="Tahoma"/>
          <w:color w:val="252525"/>
          <w:sz w:val="17"/>
          <w:szCs w:val="17"/>
          <w:lang w:eastAsia="ru-RU"/>
        </w:rPr>
        <w:t>, а в последствии и п. Тельвиска.</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Введена в эксплуатацию установка по утилизации ртутьсодержащих люминесцентных ламп. Производительность установки  удовлетворяет потребностям округа в утилизации ртутьсодержащих ламп.</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В отчетном году переоформлены 2 лицензии на осуществление деятельности по заготовке, хранению, переработке и реализации лома черных металлов, цветных металлов.</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lastRenderedPageBreak/>
        <w:t>В рамках деятельности по предотвращению нарушений требований земельного законодательства Управление приняло участие в работе 29 комиссии по выбору земельных участков под объекты строительства, а так же участие в работе 7 комиссии по приемке рекультивированных земельных участков.</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В 2012 году выдано  7 разрешений на выброс загрязняющих веществ в атмосферный воздух, которыми устанавливаются предельно допустимые выбросы и другие условия, которые обеспечивают охрану атмосферного воздуха.</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В адрес Управления поступила 1 заявка на утверждение зон санитарной охраны источников питьевого водоснабжения от ООО «Геонорд». По результатам рассмотрения представленных документов утвержден проект зон санитарной охраны водозабора подземных вод УПН «Колва» на территории Ненецкого автономного округа. </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xml:space="preserve">Организованы и совместно с органами местного самоуправления проведены экологические рейды по выявлению несанкционированных мест размещения отходов  на территории </w:t>
      </w:r>
      <w:proofErr w:type="gramStart"/>
      <w:r w:rsidRPr="00EF750F">
        <w:rPr>
          <w:rFonts w:ascii="Tahoma" w:eastAsia="Times New Roman" w:hAnsi="Tahoma" w:cs="Tahoma"/>
          <w:color w:val="252525"/>
          <w:sz w:val="17"/>
          <w:szCs w:val="17"/>
          <w:lang w:eastAsia="ru-RU"/>
        </w:rPr>
        <w:t>г</w:t>
      </w:r>
      <w:proofErr w:type="gramEnd"/>
      <w:r w:rsidRPr="00EF750F">
        <w:rPr>
          <w:rFonts w:ascii="Tahoma" w:eastAsia="Times New Roman" w:hAnsi="Tahoma" w:cs="Tahoma"/>
          <w:color w:val="252525"/>
          <w:sz w:val="17"/>
          <w:szCs w:val="17"/>
          <w:lang w:eastAsia="ru-RU"/>
        </w:rPr>
        <w:t>. Нарьян-Мара и п. Искателей. Выявлено 36 несанкционированных мест размещения отходов, очищено 24 несанкционированных места размещения отходов. Организована  и проведена акция «Водным объектам Ненецкого автономного округа чистые берега и причалы», в которой приняли участие предприятия, муниципальные образования. В целях выявления нарушений правил благоустройства совместно с органами местного самоуправления и УМВД по НАО организовано  и проведено патрулирование территории МО «Городской округ «Город Нарьян-Мар» и МО «Городское поселение «Рабочий поселок Искателей».</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В целях обеспечения рационального использования и сохранения охотничьих ресурсов  и осуществления видов деятельности в сфере охотничьего хозяйства на территории Ненецкого автономного округа, Управлением начато составление Схемы размещения, использования и охраны охотничьих угодий на территории Ненецкого автономного округа (далее – Схема). Работы по составлению Схемы проводятся в два этапа: 2012 -2013 г.г. Утверждение Схемы планируется в конце 2013 г. – начале 2014 г.</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В течение года продолжалась работа по выдаче и аннулированию охотничьих билетов единого федерального образца. Всего за 2012 год выдан 2821 охотничий билет.</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Управление приняло активное участие в проведении 3-ей Международной научно-практической конференции «Экологическое состояние Печорского региона - «ЭкоПечора 2012». В конференции приняли участие представители федеральных органов государственной власти, органов государственной власти НАО, представители нефтяных компаний и научного сообщества, а также общественность.  Участники конференции в своих выступлениях подчеркнули большое значение Печорского региона в поддержании высокой доли общеевропейских популяций мигрирующих птиц, прежде всего водоплавающих, а также редких и охраняемых видов птиц из Красной книги Ненецкого автономного округа, Красной книги Российской Федерации и Красной книги Международного союза охраны природы. Кроме того, Печорский регион играет важную роль в сохранении и воспроизводстве водных биоресурсов Европейского Севера.</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В феврале 2012 года в соответствии с Перечнем объектов лицензирования на 2011 год, был проведен аукцион на право пользования недрами с целью геологического изучения (поиски и оценка), разведки и добычи песка на участке «Городецкий». По результатам аукциона победителем признано ОАО «Севергидромеханизация», в бюджет округа поступило 564,8 тыс. рублей.</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xml:space="preserve">На  2012 год Управлением было запланировано проведение 11 аукционов на право пользования участками недр, содержащими общераспространенные полезные ископаемые. В декабре 2011 года в Закон РФ  от 21.02.1992 № 2395-1 «О недрах» были внесены изменения в </w:t>
      </w:r>
      <w:proofErr w:type="gramStart"/>
      <w:r w:rsidRPr="00EF750F">
        <w:rPr>
          <w:rFonts w:ascii="Tahoma" w:eastAsia="Times New Roman" w:hAnsi="Tahoma" w:cs="Tahoma"/>
          <w:color w:val="252525"/>
          <w:sz w:val="17"/>
          <w:szCs w:val="17"/>
          <w:lang w:eastAsia="ru-RU"/>
        </w:rPr>
        <w:t>соответствии</w:t>
      </w:r>
      <w:proofErr w:type="gramEnd"/>
      <w:r w:rsidRPr="00EF750F">
        <w:rPr>
          <w:rFonts w:ascii="Tahoma" w:eastAsia="Times New Roman" w:hAnsi="Tahoma" w:cs="Tahoma"/>
          <w:color w:val="252525"/>
          <w:sz w:val="17"/>
          <w:szCs w:val="17"/>
          <w:lang w:eastAsia="ru-RU"/>
        </w:rPr>
        <w:t xml:space="preserve"> с которыми субъекты Российской Федерации имеют право предоставлять право пользования недрами только в отношении участков недр местного значения. При этом участки недр местного значения должны быть согласованы с Федеральным агентством по недропользованию (Роснедра).</w:t>
      </w:r>
      <w:r w:rsidRPr="00EF750F">
        <w:rPr>
          <w:rFonts w:ascii="Tahoma" w:eastAsia="Times New Roman" w:hAnsi="Tahoma" w:cs="Tahoma"/>
          <w:color w:val="252525"/>
          <w:sz w:val="17"/>
          <w:lang w:eastAsia="ru-RU"/>
        </w:rPr>
        <w:t> </w:t>
      </w:r>
      <w:hyperlink r:id="rId4" w:history="1">
        <w:r w:rsidRPr="00EF750F">
          <w:rPr>
            <w:rFonts w:ascii="Tahoma" w:eastAsia="Times New Roman" w:hAnsi="Tahoma" w:cs="Tahoma"/>
            <w:color w:val="A92510"/>
            <w:sz w:val="17"/>
            <w:u w:val="single"/>
            <w:lang w:eastAsia="ru-RU"/>
          </w:rPr>
          <w:t>Порядок</w:t>
        </w:r>
      </w:hyperlink>
      <w:r w:rsidRPr="00EF750F">
        <w:rPr>
          <w:rFonts w:ascii="Tahoma" w:eastAsia="Times New Roman" w:hAnsi="Tahoma" w:cs="Tahoma"/>
          <w:color w:val="252525"/>
          <w:sz w:val="17"/>
          <w:lang w:eastAsia="ru-RU"/>
        </w:rPr>
        <w:t> </w:t>
      </w:r>
      <w:r w:rsidRPr="00EF750F">
        <w:rPr>
          <w:rFonts w:ascii="Tahoma" w:eastAsia="Times New Roman" w:hAnsi="Tahoma" w:cs="Tahoma"/>
          <w:color w:val="252525"/>
          <w:sz w:val="17"/>
          <w:szCs w:val="17"/>
          <w:lang w:eastAsia="ru-RU"/>
        </w:rPr>
        <w:t>подготовки, рассмотрения, согласования перечней участков недр местного значения или отказа в согласовании указанных перечней был подготовлен Роснедра и введен в действие только 14.08.2012 года. Ввиду внесения в Закон Российской Федерации «О недрах» данных изменений и отсутствия нормативной базы, Управление не имело возможности проводить аукционы на право пользования недрами.</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В отчетный период Управлением было рассмотрено 11 заявок на внесение изменений и дополнений в действующие лицензии на право пользования недрами. По результатам рассмотрения подготовлено и зарегистрировано 11 изменений в лицензии.</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В кадастр месторождений и проявлений внесены: 3 проявления песка и ПГС и 2 месторождения песка. Досрочно прекращено право пользования недрами по 3 лицензионным участкам.</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По состоянию на 01.01.2013 года на территориальном балансе числится:</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- 143 месторождения общераспространенных полезных ископаемых, из них в распределенном фонде – 80 месторождений;</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общие балансовые запасы песка и ПГС составляют 178,4 млн</w:t>
      </w:r>
      <w:proofErr w:type="gramStart"/>
      <w:r w:rsidRPr="00EF750F">
        <w:rPr>
          <w:rFonts w:ascii="Tahoma" w:eastAsia="Times New Roman" w:hAnsi="Tahoma" w:cs="Tahoma"/>
          <w:color w:val="252525"/>
          <w:sz w:val="17"/>
          <w:szCs w:val="17"/>
          <w:lang w:eastAsia="ru-RU"/>
        </w:rPr>
        <w:t>.м</w:t>
      </w:r>
      <w:proofErr w:type="gramEnd"/>
      <w:r w:rsidRPr="00EF750F">
        <w:rPr>
          <w:rFonts w:ascii="Tahoma" w:eastAsia="Times New Roman" w:hAnsi="Tahoma" w:cs="Tahoma"/>
          <w:color w:val="252525"/>
          <w:sz w:val="17"/>
          <w:szCs w:val="17"/>
          <w:vertAlign w:val="superscript"/>
          <w:lang w:eastAsia="ru-RU"/>
        </w:rPr>
        <w:t>3</w:t>
      </w:r>
      <w:r w:rsidRPr="00EF750F">
        <w:rPr>
          <w:rFonts w:ascii="Tahoma" w:eastAsia="Times New Roman" w:hAnsi="Tahoma" w:cs="Tahoma"/>
          <w:color w:val="252525"/>
          <w:sz w:val="17"/>
          <w:szCs w:val="17"/>
          <w:lang w:eastAsia="ru-RU"/>
        </w:rPr>
        <w:t>, изи них в распределенном фонде – 141,9 млн.м</w:t>
      </w:r>
      <w:r w:rsidRPr="00EF750F">
        <w:rPr>
          <w:rFonts w:ascii="Tahoma" w:eastAsia="Times New Roman" w:hAnsi="Tahoma" w:cs="Tahoma"/>
          <w:color w:val="252525"/>
          <w:sz w:val="17"/>
          <w:szCs w:val="17"/>
          <w:vertAlign w:val="superscript"/>
          <w:lang w:eastAsia="ru-RU"/>
        </w:rPr>
        <w:t>3</w:t>
      </w:r>
      <w:r w:rsidRPr="00EF750F">
        <w:rPr>
          <w:rFonts w:ascii="Tahoma" w:eastAsia="Times New Roman" w:hAnsi="Tahoma" w:cs="Tahoma"/>
          <w:color w:val="252525"/>
          <w:sz w:val="17"/>
          <w:szCs w:val="17"/>
          <w:lang w:eastAsia="ru-RU"/>
        </w:rPr>
        <w:t>. Прирост запасов песка и ПГС на территории НАО в 2012 году составил 13433,715 тыс.м</w:t>
      </w:r>
      <w:r w:rsidRPr="00EF750F">
        <w:rPr>
          <w:rFonts w:ascii="Tahoma" w:eastAsia="Times New Roman" w:hAnsi="Tahoma" w:cs="Tahoma"/>
          <w:color w:val="252525"/>
          <w:sz w:val="17"/>
          <w:szCs w:val="17"/>
          <w:vertAlign w:val="superscript"/>
          <w:lang w:eastAsia="ru-RU"/>
        </w:rPr>
        <w:t>3</w:t>
      </w:r>
      <w:r w:rsidRPr="00EF750F">
        <w:rPr>
          <w:rFonts w:ascii="Tahoma" w:eastAsia="Times New Roman" w:hAnsi="Tahoma" w:cs="Tahoma"/>
          <w:color w:val="252525"/>
          <w:sz w:val="17"/>
          <w:szCs w:val="17"/>
          <w:lang w:eastAsia="ru-RU"/>
        </w:rPr>
        <w:t>.</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В соответствии с утвержденным планом проведения проверок юридических лиц и индивидуальных предпринимателей Управлением проведено 7 проверок соблюдения недропользователями обязательных требований  по геологическому изучению, рациональному использованию и охране недр (геологический контроль).</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В результате проведенных проверок выявлено 3 нарушения, возбужденно 1  дело об административном правонарушении, вынесено 1 постановление о привлечении к административной ответственности.</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В целях координации деятельности недропользователей по освоению углеводородного потенциала, обеспечения рационального использования недр на территории НАО для получения доходов и формирования окружного бюджета проведено следующее:</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lastRenderedPageBreak/>
        <w:t>     - сбор, систематизация, оперативный анализ информации, поступающей от недропользователей о выполнении ими условий, предусмотренных лицензионными соглашениями к лицензиям, выданным на право пользования недрами с целью геологического изучения, разведки и добычи УВС;</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 ведется реестр недропользователей и реестр лицензий на право пользования недрами с целью геологического изучения, разведки и добычи УВС на территории округа;</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 сбор и анализ информации от пользователей недр, осуществляющих деятельность на территории Ненецкого автономного округа, федеральных законов и решений Президента Российской Федерации по повышению эффективности использования попутного нефтяного газа.</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Администрация Ненецкого автономного округа, является участником проекта «Харьягинское СРП». Управление, в рамках своих полномочий, осуществляет рассмотрение материалов и документов, связанных с реализацией Харьягинского Соглашение о разделе продукции. Основной задачей Управления является оптимизация и снижение возмещаемых затрат по проекту. Так в 2012 году  затраты, представленные Оператором проекта – компанией «Тоталь Разведка Разработка Россия» к возмещению за 2011 год, были уменьшены на 8024 тыс. долларов, в результате чего прибыльная нефть государства увеличилась на 10328 тыс. долларов, а в бюджет НАО дополнительно поступило более 150 млн. рублей.</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Постоянно ведётся мониторинг ситуации с недропользованием на территории – по планам и объемам добычи УВС, выполнению геологоразведочных работ, движению запасов УВС, выполнению недропользователями мероприятий по полезному использованию попутного нефтяного газа.</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За 12 месяцев 2012 года на территории округа добыто 13 473,60 тыс. тонн нефти, что составляет 100,63% от запланированного объёма добычи на 2012 год. Объём добычи свободного газа в 2012 году составил 217,097 млн. м</w:t>
      </w:r>
      <w:r w:rsidRPr="00EF750F">
        <w:rPr>
          <w:rFonts w:ascii="Tahoma" w:eastAsia="Times New Roman" w:hAnsi="Tahoma" w:cs="Tahoma"/>
          <w:color w:val="252525"/>
          <w:sz w:val="17"/>
          <w:szCs w:val="17"/>
          <w:vertAlign w:val="superscript"/>
          <w:lang w:eastAsia="ru-RU"/>
        </w:rPr>
        <w:t>3</w:t>
      </w:r>
      <w:r w:rsidRPr="00EF750F">
        <w:rPr>
          <w:rFonts w:ascii="Tahoma" w:eastAsia="Times New Roman" w:hAnsi="Tahoma" w:cs="Tahoma"/>
          <w:color w:val="252525"/>
          <w:sz w:val="17"/>
          <w:szCs w:val="17"/>
          <w:lang w:eastAsia="ru-RU"/>
        </w:rPr>
        <w:t>; газового конденсата – 6,182 тыс. тонн.</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Управление ведет активную работу в сфере развития отношений социального партнерства с компаниями, работающими на территории Ненецкого автономного округа, курируя вопросы заключения соглашений о взаимодействии в области социально-экономического развития между Администрацией Ненецкого автономного округа и компаниями.</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Участие компаний в социально-экономическом развитии  региона обусловлено как условиями лицензионных соглашений, в рамках которых они осуществляют деятельность по использованию недр на территории Ненецкого автономного округа, так и доброй волей   компаний, стремящихся к сотрудничеству в сфере социального партнерства.</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За 2012 год  Управлением была проведена работа, направленная на заключение  соглашений (дополнительных соглашений, приложений, протоколов к ним)  в области социально-экономического развития округа между Администрацией округа и компаниями на сумму 324 838,46 тыс. рублей.</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xml:space="preserve">            </w:t>
      </w:r>
      <w:proofErr w:type="gramStart"/>
      <w:r w:rsidRPr="00EF750F">
        <w:rPr>
          <w:rFonts w:ascii="Tahoma" w:eastAsia="Times New Roman" w:hAnsi="Tahoma" w:cs="Tahoma"/>
          <w:color w:val="252525"/>
          <w:sz w:val="17"/>
          <w:szCs w:val="17"/>
          <w:lang w:eastAsia="ru-RU"/>
        </w:rPr>
        <w:t>Наиболее активно в социально-экономическом развитии округа  участвуют  ОАО «НК «РОСНЕФТЬ», компании группы «ЛУКОЙЛ»,   ООО «Компания «Полярное Сияние», ООО «Совместная компания «РУСВЬЕТПЕТРО», ОАО «ТНК – ВР Менеджмент», ОАО «Группа «Альянс», ОАО «АНК «Башнефть», ООО «Башнефть-Полюс».</w:t>
      </w:r>
      <w:proofErr w:type="gramEnd"/>
      <w:r w:rsidRPr="00EF750F">
        <w:rPr>
          <w:rFonts w:ascii="Tahoma" w:eastAsia="Times New Roman" w:hAnsi="Tahoma" w:cs="Tahoma"/>
          <w:color w:val="252525"/>
          <w:sz w:val="17"/>
          <w:szCs w:val="17"/>
          <w:lang w:eastAsia="ru-RU"/>
        </w:rPr>
        <w:t xml:space="preserve"> Также свой вклад вносят и другие компании, за счет чего появляется возможность решать  важные задачи в различных областях жизнедеятельности  округа. </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Часть из указанных денежных средств, перечисленных компанией «Башнефть-Полюс», направлена в качестве бюджетных инвестиций ГУП НАО «Ненецкая компания электросвязи» на строительство каналов связи для развития телекоммуникационных услуг в населенных пунктах Нижнепечорья Ненецкого автономного округа.</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ОАО «НК «Роснефть» перечислены средства на финансирование строительства детского сада на 30 мест в пос. Шойна Ненецкого автономного округа.</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Силами ОАО «Ненецкая нефтяная компания» осуществляется строительство объекта «</w:t>
      </w:r>
      <w:proofErr w:type="gramStart"/>
      <w:r w:rsidRPr="00EF750F">
        <w:rPr>
          <w:rFonts w:ascii="Tahoma" w:eastAsia="Times New Roman" w:hAnsi="Tahoma" w:cs="Tahoma"/>
          <w:color w:val="252525"/>
          <w:sz w:val="17"/>
          <w:szCs w:val="17"/>
          <w:lang w:eastAsia="ru-RU"/>
        </w:rPr>
        <w:t>Детский</w:t>
      </w:r>
      <w:proofErr w:type="gramEnd"/>
      <w:r w:rsidRPr="00EF750F">
        <w:rPr>
          <w:rFonts w:ascii="Tahoma" w:eastAsia="Times New Roman" w:hAnsi="Tahoma" w:cs="Tahoma"/>
          <w:color w:val="252525"/>
          <w:sz w:val="17"/>
          <w:szCs w:val="17"/>
          <w:lang w:eastAsia="ru-RU"/>
        </w:rPr>
        <w:t xml:space="preserve"> сад-ясли на 220 мест с бассейном по ул. Заводская в г. Нарьян-Маре». Также в сфере социального партнерства ОАО «ТНК-ВР Менеджмент»   принимает участие в финансировании вопроса приобретения (строительства)  квартир для ветеранов боевых действий на территории Чеченской Республики и в Афганистане.  </w:t>
      </w:r>
      <w:proofErr w:type="gramStart"/>
      <w:r w:rsidRPr="00EF750F">
        <w:rPr>
          <w:rFonts w:ascii="Tahoma" w:eastAsia="Times New Roman" w:hAnsi="Tahoma" w:cs="Tahoma"/>
          <w:color w:val="252525"/>
          <w:sz w:val="17"/>
          <w:szCs w:val="17"/>
          <w:lang w:eastAsia="ru-RU"/>
        </w:rPr>
        <w:t>Компаниями  ООО «Колвинское» и ОАО «Печоранефть» осуществляется  финансирование строительства 24-х квартирного жилого дома в с. Тельвиска Ненецкого автономного округа.</w:t>
      </w:r>
      <w:proofErr w:type="gramEnd"/>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Важным направлением работы Управления является предупреждение возникновения конфликта интересов на государственной гражданской службе Ненецкого автономного округа и недопущение коррупционных действий в служебной деятельности.</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 xml:space="preserve">Утвержден состав Комиссии по соблюдению требований к служебному поведению государственных гражданских служащих Управления природных ресурсов и экологии Ненецкого автономного округа и урегулированию конфликта интересов (далее - Комиссия). </w:t>
      </w:r>
      <w:proofErr w:type="gramStart"/>
      <w:r w:rsidRPr="00EF750F">
        <w:rPr>
          <w:rFonts w:ascii="Tahoma" w:eastAsia="Times New Roman" w:hAnsi="Tahoma" w:cs="Tahoma"/>
          <w:color w:val="252525"/>
          <w:sz w:val="17"/>
          <w:szCs w:val="17"/>
          <w:lang w:eastAsia="ru-RU"/>
        </w:rPr>
        <w:t>Основным направлением работы Комиссии является обеспечение соблюдения государственными гражданскими служащими Управления ограничений и запретов, требований о предотвращении или урегулировании конфликта интересов, а также в обеспечение исполнения ими обязанностей, установленных Федеральным законом от 25.12.2008 №273-ФЗ « О противодействии коррупции», законом Ненецкого автономного округа от 01.07.2009 №53-оз «О противодействии коррупции в Ненецком автономном округе», другими федеральными и окружными нормативными правовыми актами.</w:t>
      </w:r>
      <w:proofErr w:type="gramEnd"/>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Проведены 2 заседания Комиссии, случаев возникновения конфликта интересов, одной из сторон которого являются государственные служащие Управления, не выявлено. С полной информацией о составе и деятельности комиссии можно ознакомиться на портале органов власти Ненецкого автономного округа</w:t>
      </w:r>
      <w:r w:rsidRPr="00EF750F">
        <w:rPr>
          <w:rFonts w:ascii="Tahoma" w:eastAsia="Times New Roman" w:hAnsi="Tahoma" w:cs="Tahoma"/>
          <w:color w:val="252525"/>
          <w:sz w:val="17"/>
          <w:lang w:eastAsia="ru-RU"/>
        </w:rPr>
        <w:t> </w:t>
      </w:r>
      <w:r w:rsidRPr="00EF750F">
        <w:rPr>
          <w:rFonts w:ascii="Tahoma" w:eastAsia="Times New Roman" w:hAnsi="Tahoma" w:cs="Tahoma"/>
          <w:color w:val="252525"/>
          <w:sz w:val="17"/>
          <w:szCs w:val="17"/>
          <w:u w:val="single"/>
          <w:lang w:eastAsia="ru-RU"/>
        </w:rPr>
        <w:t>ogv-nao.ru</w:t>
      </w:r>
      <w:r w:rsidRPr="00EF750F">
        <w:rPr>
          <w:rFonts w:ascii="Tahoma" w:eastAsia="Times New Roman" w:hAnsi="Tahoma" w:cs="Tahoma"/>
          <w:color w:val="252525"/>
          <w:sz w:val="17"/>
          <w:lang w:eastAsia="ru-RU"/>
        </w:rPr>
        <w:t> </w:t>
      </w:r>
      <w:r w:rsidRPr="00EF750F">
        <w:rPr>
          <w:rFonts w:ascii="Tahoma" w:eastAsia="Times New Roman" w:hAnsi="Tahoma" w:cs="Tahoma"/>
          <w:color w:val="252525"/>
          <w:sz w:val="17"/>
          <w:szCs w:val="17"/>
          <w:lang w:eastAsia="ru-RU"/>
        </w:rPr>
        <w:t>на странице Управления в разделе Противодействие коррупции.</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Проведен комплекс  организационных, разъяснительных мер по соблюдению государственными гражданскими служащими Управления ограничений и запретов, установленных в целях противодействия коррупции, в том числе ограничений, касающихся подарков.</w:t>
      </w:r>
    </w:p>
    <w:p w:rsidR="00EF750F" w:rsidRPr="00EF750F" w:rsidRDefault="00EF750F" w:rsidP="00EF750F">
      <w:pPr>
        <w:shd w:val="clear" w:color="auto" w:fill="FFFFFF"/>
        <w:spacing w:after="0" w:line="218" w:lineRule="atLeast"/>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lastRenderedPageBreak/>
        <w:t xml:space="preserve">В соответствие с утвержденным в Управлении Планом противодействия коррупции 3 государственных гражданских служащих Управления прошли </w:t>
      </w:r>
      <w:proofErr w:type="gramStart"/>
      <w:r w:rsidRPr="00EF750F">
        <w:rPr>
          <w:rFonts w:ascii="Tahoma" w:eastAsia="Times New Roman" w:hAnsi="Tahoma" w:cs="Tahoma"/>
          <w:color w:val="252525"/>
          <w:sz w:val="17"/>
          <w:szCs w:val="17"/>
          <w:lang w:eastAsia="ru-RU"/>
        </w:rPr>
        <w:t>обучение по программе</w:t>
      </w:r>
      <w:proofErr w:type="gramEnd"/>
      <w:r w:rsidRPr="00EF750F">
        <w:rPr>
          <w:rFonts w:ascii="Tahoma" w:eastAsia="Times New Roman" w:hAnsi="Tahoma" w:cs="Tahoma"/>
          <w:color w:val="252525"/>
          <w:sz w:val="17"/>
          <w:szCs w:val="17"/>
          <w:lang w:eastAsia="ru-RU"/>
        </w:rPr>
        <w:t>  повышения квалификации «Противодействие коррупции в органах государственной власти и местного самоуправления».</w:t>
      </w:r>
    </w:p>
    <w:p w:rsidR="00EF750F" w:rsidRPr="00EF750F" w:rsidRDefault="00EF750F" w:rsidP="00EF750F">
      <w:pPr>
        <w:shd w:val="clear" w:color="auto" w:fill="FFFFFF"/>
        <w:spacing w:after="0" w:line="218" w:lineRule="atLeast"/>
        <w:jc w:val="both"/>
        <w:rPr>
          <w:rFonts w:ascii="Tahoma" w:eastAsia="Times New Roman" w:hAnsi="Tahoma" w:cs="Tahoma"/>
          <w:color w:val="252525"/>
          <w:sz w:val="17"/>
          <w:szCs w:val="17"/>
          <w:lang w:eastAsia="ru-RU"/>
        </w:rPr>
      </w:pPr>
      <w:r w:rsidRPr="00EF750F">
        <w:rPr>
          <w:rFonts w:ascii="Tahoma" w:eastAsia="Times New Roman" w:hAnsi="Tahoma" w:cs="Tahoma"/>
          <w:color w:val="252525"/>
          <w:sz w:val="17"/>
          <w:szCs w:val="17"/>
          <w:lang w:eastAsia="ru-RU"/>
        </w:rPr>
        <w:t>Разработанные Управлением проекты нормативных правовых актов, выносимые на рассмотрение Администрации Ненецкого автономного округа, не содержат положений, способствующих созданию условий для проявления коррупции. При проведении анализа указанных актов коррупционногенных фактов не выявлено, случаев их неустранения не имеется. </w:t>
      </w:r>
    </w:p>
    <w:p w:rsidR="00AA776D" w:rsidRDefault="00AA776D"/>
    <w:sectPr w:rsidR="00AA776D" w:rsidSect="00AA77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EF750F"/>
    <w:rsid w:val="0000059E"/>
    <w:rsid w:val="00001347"/>
    <w:rsid w:val="000025F6"/>
    <w:rsid w:val="00002F1F"/>
    <w:rsid w:val="00003107"/>
    <w:rsid w:val="000034E0"/>
    <w:rsid w:val="000038AE"/>
    <w:rsid w:val="00004263"/>
    <w:rsid w:val="00004E55"/>
    <w:rsid w:val="00005535"/>
    <w:rsid w:val="00005994"/>
    <w:rsid w:val="00005D11"/>
    <w:rsid w:val="000069DD"/>
    <w:rsid w:val="00010732"/>
    <w:rsid w:val="00010B5A"/>
    <w:rsid w:val="00011C38"/>
    <w:rsid w:val="00012304"/>
    <w:rsid w:val="00013113"/>
    <w:rsid w:val="0001361E"/>
    <w:rsid w:val="0001395F"/>
    <w:rsid w:val="00014189"/>
    <w:rsid w:val="0001500F"/>
    <w:rsid w:val="0001513C"/>
    <w:rsid w:val="0001713C"/>
    <w:rsid w:val="00017B3A"/>
    <w:rsid w:val="000203FE"/>
    <w:rsid w:val="000209BC"/>
    <w:rsid w:val="0002172D"/>
    <w:rsid w:val="00022ABF"/>
    <w:rsid w:val="00023FB0"/>
    <w:rsid w:val="000247BF"/>
    <w:rsid w:val="000252ED"/>
    <w:rsid w:val="00025A81"/>
    <w:rsid w:val="00025ACA"/>
    <w:rsid w:val="00025D56"/>
    <w:rsid w:val="0002603E"/>
    <w:rsid w:val="000271C1"/>
    <w:rsid w:val="00031FD3"/>
    <w:rsid w:val="000328C3"/>
    <w:rsid w:val="000348A1"/>
    <w:rsid w:val="00034C50"/>
    <w:rsid w:val="00035E6A"/>
    <w:rsid w:val="000360AF"/>
    <w:rsid w:val="000360B3"/>
    <w:rsid w:val="000362D3"/>
    <w:rsid w:val="00037A40"/>
    <w:rsid w:val="00037FDE"/>
    <w:rsid w:val="000401BB"/>
    <w:rsid w:val="000414CD"/>
    <w:rsid w:val="0004180E"/>
    <w:rsid w:val="00041F28"/>
    <w:rsid w:val="000420D3"/>
    <w:rsid w:val="000420DE"/>
    <w:rsid w:val="0004211A"/>
    <w:rsid w:val="0004382A"/>
    <w:rsid w:val="00044820"/>
    <w:rsid w:val="00044F30"/>
    <w:rsid w:val="0004503F"/>
    <w:rsid w:val="000452AB"/>
    <w:rsid w:val="00045F0E"/>
    <w:rsid w:val="00045F33"/>
    <w:rsid w:val="000468BB"/>
    <w:rsid w:val="00047317"/>
    <w:rsid w:val="00050677"/>
    <w:rsid w:val="00050A8E"/>
    <w:rsid w:val="00050C22"/>
    <w:rsid w:val="000511B0"/>
    <w:rsid w:val="00051998"/>
    <w:rsid w:val="00052440"/>
    <w:rsid w:val="000525FF"/>
    <w:rsid w:val="00052853"/>
    <w:rsid w:val="00053B23"/>
    <w:rsid w:val="00060DAB"/>
    <w:rsid w:val="00061DFC"/>
    <w:rsid w:val="000623B2"/>
    <w:rsid w:val="000624FF"/>
    <w:rsid w:val="000633C4"/>
    <w:rsid w:val="000660E2"/>
    <w:rsid w:val="000665B7"/>
    <w:rsid w:val="00066AA9"/>
    <w:rsid w:val="000674DF"/>
    <w:rsid w:val="00070325"/>
    <w:rsid w:val="000708DC"/>
    <w:rsid w:val="00071C49"/>
    <w:rsid w:val="0007288C"/>
    <w:rsid w:val="000729B4"/>
    <w:rsid w:val="00073BDC"/>
    <w:rsid w:val="00073CCF"/>
    <w:rsid w:val="0007466B"/>
    <w:rsid w:val="000749B5"/>
    <w:rsid w:val="000764F2"/>
    <w:rsid w:val="00076791"/>
    <w:rsid w:val="000769D2"/>
    <w:rsid w:val="00076B57"/>
    <w:rsid w:val="00077451"/>
    <w:rsid w:val="00077878"/>
    <w:rsid w:val="00077CFB"/>
    <w:rsid w:val="00082D92"/>
    <w:rsid w:val="00082F0C"/>
    <w:rsid w:val="00083E9D"/>
    <w:rsid w:val="00085086"/>
    <w:rsid w:val="000861ED"/>
    <w:rsid w:val="000866AA"/>
    <w:rsid w:val="00087049"/>
    <w:rsid w:val="000878BF"/>
    <w:rsid w:val="00090C47"/>
    <w:rsid w:val="00090E18"/>
    <w:rsid w:val="00091404"/>
    <w:rsid w:val="00091D53"/>
    <w:rsid w:val="00092BD3"/>
    <w:rsid w:val="000935E9"/>
    <w:rsid w:val="0009466B"/>
    <w:rsid w:val="0009512C"/>
    <w:rsid w:val="00095218"/>
    <w:rsid w:val="00096BD6"/>
    <w:rsid w:val="00097187"/>
    <w:rsid w:val="000A096C"/>
    <w:rsid w:val="000A0ACE"/>
    <w:rsid w:val="000A0F27"/>
    <w:rsid w:val="000A1569"/>
    <w:rsid w:val="000A1590"/>
    <w:rsid w:val="000A1DE4"/>
    <w:rsid w:val="000A1EE7"/>
    <w:rsid w:val="000A2B68"/>
    <w:rsid w:val="000A319B"/>
    <w:rsid w:val="000A5A46"/>
    <w:rsid w:val="000A6DD0"/>
    <w:rsid w:val="000A7ECF"/>
    <w:rsid w:val="000B0F37"/>
    <w:rsid w:val="000B124A"/>
    <w:rsid w:val="000B282F"/>
    <w:rsid w:val="000B2DA6"/>
    <w:rsid w:val="000B2EA0"/>
    <w:rsid w:val="000B4921"/>
    <w:rsid w:val="000B53F0"/>
    <w:rsid w:val="000B585A"/>
    <w:rsid w:val="000B720F"/>
    <w:rsid w:val="000C04F7"/>
    <w:rsid w:val="000C0A64"/>
    <w:rsid w:val="000C1AF3"/>
    <w:rsid w:val="000C28A0"/>
    <w:rsid w:val="000C2B41"/>
    <w:rsid w:val="000C3977"/>
    <w:rsid w:val="000C3F3F"/>
    <w:rsid w:val="000C4610"/>
    <w:rsid w:val="000C48A4"/>
    <w:rsid w:val="000C5D8D"/>
    <w:rsid w:val="000C60C7"/>
    <w:rsid w:val="000C693A"/>
    <w:rsid w:val="000C72C3"/>
    <w:rsid w:val="000C7EEB"/>
    <w:rsid w:val="000D0795"/>
    <w:rsid w:val="000D1B0C"/>
    <w:rsid w:val="000D21FD"/>
    <w:rsid w:val="000D2507"/>
    <w:rsid w:val="000D3280"/>
    <w:rsid w:val="000D343A"/>
    <w:rsid w:val="000D3771"/>
    <w:rsid w:val="000D3A8A"/>
    <w:rsid w:val="000D3EF8"/>
    <w:rsid w:val="000D4ED1"/>
    <w:rsid w:val="000D5B32"/>
    <w:rsid w:val="000D6C9A"/>
    <w:rsid w:val="000D7661"/>
    <w:rsid w:val="000D7752"/>
    <w:rsid w:val="000E02F4"/>
    <w:rsid w:val="000E0591"/>
    <w:rsid w:val="000E0DDF"/>
    <w:rsid w:val="000E1159"/>
    <w:rsid w:val="000E1737"/>
    <w:rsid w:val="000E1C36"/>
    <w:rsid w:val="000E25E3"/>
    <w:rsid w:val="000E35A5"/>
    <w:rsid w:val="000E3746"/>
    <w:rsid w:val="000E3AAE"/>
    <w:rsid w:val="000E3E58"/>
    <w:rsid w:val="000E43F7"/>
    <w:rsid w:val="000E45F3"/>
    <w:rsid w:val="000E4A26"/>
    <w:rsid w:val="000E6391"/>
    <w:rsid w:val="000E777C"/>
    <w:rsid w:val="000E77D0"/>
    <w:rsid w:val="000E7CAC"/>
    <w:rsid w:val="000F0807"/>
    <w:rsid w:val="000F0B6E"/>
    <w:rsid w:val="000F0CCE"/>
    <w:rsid w:val="000F13BC"/>
    <w:rsid w:val="000F1562"/>
    <w:rsid w:val="000F179C"/>
    <w:rsid w:val="000F2156"/>
    <w:rsid w:val="000F2465"/>
    <w:rsid w:val="000F328A"/>
    <w:rsid w:val="000F38D5"/>
    <w:rsid w:val="000F5893"/>
    <w:rsid w:val="000F7ED4"/>
    <w:rsid w:val="001012BC"/>
    <w:rsid w:val="001021A5"/>
    <w:rsid w:val="00103D08"/>
    <w:rsid w:val="00103EB9"/>
    <w:rsid w:val="00105773"/>
    <w:rsid w:val="00105A46"/>
    <w:rsid w:val="00107474"/>
    <w:rsid w:val="0011012B"/>
    <w:rsid w:val="00111A5F"/>
    <w:rsid w:val="00112643"/>
    <w:rsid w:val="00112CC8"/>
    <w:rsid w:val="001131BD"/>
    <w:rsid w:val="001137F7"/>
    <w:rsid w:val="00114AED"/>
    <w:rsid w:val="00116406"/>
    <w:rsid w:val="001166F4"/>
    <w:rsid w:val="001169B7"/>
    <w:rsid w:val="00116DD9"/>
    <w:rsid w:val="00117397"/>
    <w:rsid w:val="0012032C"/>
    <w:rsid w:val="001217C3"/>
    <w:rsid w:val="00122890"/>
    <w:rsid w:val="0012319B"/>
    <w:rsid w:val="00123382"/>
    <w:rsid w:val="00123E72"/>
    <w:rsid w:val="00124253"/>
    <w:rsid w:val="001248D6"/>
    <w:rsid w:val="00126C6E"/>
    <w:rsid w:val="00126E9D"/>
    <w:rsid w:val="00130236"/>
    <w:rsid w:val="0013035F"/>
    <w:rsid w:val="00131468"/>
    <w:rsid w:val="001326E4"/>
    <w:rsid w:val="00133293"/>
    <w:rsid w:val="00133765"/>
    <w:rsid w:val="00133CDC"/>
    <w:rsid w:val="00134520"/>
    <w:rsid w:val="001347D2"/>
    <w:rsid w:val="001348C0"/>
    <w:rsid w:val="00134E46"/>
    <w:rsid w:val="001350C4"/>
    <w:rsid w:val="001359DC"/>
    <w:rsid w:val="00135A99"/>
    <w:rsid w:val="00135BCC"/>
    <w:rsid w:val="00136192"/>
    <w:rsid w:val="00137F4D"/>
    <w:rsid w:val="00140F37"/>
    <w:rsid w:val="00141004"/>
    <w:rsid w:val="0014119F"/>
    <w:rsid w:val="00141BA4"/>
    <w:rsid w:val="0014200F"/>
    <w:rsid w:val="00143280"/>
    <w:rsid w:val="00143284"/>
    <w:rsid w:val="00143AC5"/>
    <w:rsid w:val="0014447E"/>
    <w:rsid w:val="00144D0F"/>
    <w:rsid w:val="00146283"/>
    <w:rsid w:val="00146D73"/>
    <w:rsid w:val="00147107"/>
    <w:rsid w:val="0014723C"/>
    <w:rsid w:val="00147386"/>
    <w:rsid w:val="00147513"/>
    <w:rsid w:val="0015142C"/>
    <w:rsid w:val="0015170F"/>
    <w:rsid w:val="001525EE"/>
    <w:rsid w:val="001546D6"/>
    <w:rsid w:val="00154E27"/>
    <w:rsid w:val="00154ED6"/>
    <w:rsid w:val="0015544F"/>
    <w:rsid w:val="0015631F"/>
    <w:rsid w:val="0015714A"/>
    <w:rsid w:val="00157636"/>
    <w:rsid w:val="00160A7E"/>
    <w:rsid w:val="00160F48"/>
    <w:rsid w:val="0016143E"/>
    <w:rsid w:val="00161624"/>
    <w:rsid w:val="001620B8"/>
    <w:rsid w:val="00162576"/>
    <w:rsid w:val="00162F67"/>
    <w:rsid w:val="00163076"/>
    <w:rsid w:val="00164C66"/>
    <w:rsid w:val="00166467"/>
    <w:rsid w:val="00166F59"/>
    <w:rsid w:val="001710B7"/>
    <w:rsid w:val="001712C5"/>
    <w:rsid w:val="00174B37"/>
    <w:rsid w:val="00174CC0"/>
    <w:rsid w:val="00175CCE"/>
    <w:rsid w:val="001777E2"/>
    <w:rsid w:val="001779C5"/>
    <w:rsid w:val="00177B48"/>
    <w:rsid w:val="00180529"/>
    <w:rsid w:val="001806C8"/>
    <w:rsid w:val="001808F8"/>
    <w:rsid w:val="00180BE3"/>
    <w:rsid w:val="00181F3C"/>
    <w:rsid w:val="00182B8F"/>
    <w:rsid w:val="0018396E"/>
    <w:rsid w:val="00183C4C"/>
    <w:rsid w:val="00184748"/>
    <w:rsid w:val="0018660A"/>
    <w:rsid w:val="00187F38"/>
    <w:rsid w:val="00190528"/>
    <w:rsid w:val="001919D6"/>
    <w:rsid w:val="001926B7"/>
    <w:rsid w:val="00193D48"/>
    <w:rsid w:val="001940F0"/>
    <w:rsid w:val="00194792"/>
    <w:rsid w:val="00196039"/>
    <w:rsid w:val="00196402"/>
    <w:rsid w:val="00196AA6"/>
    <w:rsid w:val="001970B1"/>
    <w:rsid w:val="001971B3"/>
    <w:rsid w:val="00197246"/>
    <w:rsid w:val="001A01F3"/>
    <w:rsid w:val="001A0413"/>
    <w:rsid w:val="001A2025"/>
    <w:rsid w:val="001A25B0"/>
    <w:rsid w:val="001A2C5F"/>
    <w:rsid w:val="001A2FBE"/>
    <w:rsid w:val="001A3626"/>
    <w:rsid w:val="001A3DF2"/>
    <w:rsid w:val="001A422F"/>
    <w:rsid w:val="001A4589"/>
    <w:rsid w:val="001A4E8A"/>
    <w:rsid w:val="001A729C"/>
    <w:rsid w:val="001B0480"/>
    <w:rsid w:val="001B0768"/>
    <w:rsid w:val="001B0B94"/>
    <w:rsid w:val="001B0DBC"/>
    <w:rsid w:val="001B1083"/>
    <w:rsid w:val="001B1A0E"/>
    <w:rsid w:val="001B241E"/>
    <w:rsid w:val="001B4F54"/>
    <w:rsid w:val="001B5A5D"/>
    <w:rsid w:val="001B6017"/>
    <w:rsid w:val="001B6AA4"/>
    <w:rsid w:val="001B6AC7"/>
    <w:rsid w:val="001C002F"/>
    <w:rsid w:val="001C10A2"/>
    <w:rsid w:val="001C13FB"/>
    <w:rsid w:val="001C184C"/>
    <w:rsid w:val="001C2677"/>
    <w:rsid w:val="001C61ED"/>
    <w:rsid w:val="001C7296"/>
    <w:rsid w:val="001C7F00"/>
    <w:rsid w:val="001D0776"/>
    <w:rsid w:val="001D0A4E"/>
    <w:rsid w:val="001D0F7E"/>
    <w:rsid w:val="001D165E"/>
    <w:rsid w:val="001D1D3F"/>
    <w:rsid w:val="001D37D9"/>
    <w:rsid w:val="001D3947"/>
    <w:rsid w:val="001D3E56"/>
    <w:rsid w:val="001D4347"/>
    <w:rsid w:val="001D45E1"/>
    <w:rsid w:val="001D52FD"/>
    <w:rsid w:val="001D5827"/>
    <w:rsid w:val="001E05BA"/>
    <w:rsid w:val="001E0A24"/>
    <w:rsid w:val="001E0B89"/>
    <w:rsid w:val="001E0DE4"/>
    <w:rsid w:val="001E1C74"/>
    <w:rsid w:val="001E3BA6"/>
    <w:rsid w:val="001E4C3A"/>
    <w:rsid w:val="001E4FC6"/>
    <w:rsid w:val="001E5522"/>
    <w:rsid w:val="001E65B4"/>
    <w:rsid w:val="001E79E6"/>
    <w:rsid w:val="001E7A85"/>
    <w:rsid w:val="001F02B6"/>
    <w:rsid w:val="001F194F"/>
    <w:rsid w:val="001F1B46"/>
    <w:rsid w:val="001F28B1"/>
    <w:rsid w:val="001F3676"/>
    <w:rsid w:val="001F47F5"/>
    <w:rsid w:val="001F4B57"/>
    <w:rsid w:val="001F6622"/>
    <w:rsid w:val="001F721A"/>
    <w:rsid w:val="0020098D"/>
    <w:rsid w:val="00201015"/>
    <w:rsid w:val="002023E0"/>
    <w:rsid w:val="00203023"/>
    <w:rsid w:val="00203642"/>
    <w:rsid w:val="002039A0"/>
    <w:rsid w:val="002043B8"/>
    <w:rsid w:val="0020472C"/>
    <w:rsid w:val="00204899"/>
    <w:rsid w:val="00204CA7"/>
    <w:rsid w:val="00204F1C"/>
    <w:rsid w:val="00205729"/>
    <w:rsid w:val="00205BCC"/>
    <w:rsid w:val="002069EA"/>
    <w:rsid w:val="00206BAA"/>
    <w:rsid w:val="00207AF2"/>
    <w:rsid w:val="00207BBC"/>
    <w:rsid w:val="002116A3"/>
    <w:rsid w:val="00211E71"/>
    <w:rsid w:val="00212583"/>
    <w:rsid w:val="002132B3"/>
    <w:rsid w:val="002146BB"/>
    <w:rsid w:val="00214AD8"/>
    <w:rsid w:val="00215DE0"/>
    <w:rsid w:val="002167E3"/>
    <w:rsid w:val="00217353"/>
    <w:rsid w:val="00220217"/>
    <w:rsid w:val="00220E77"/>
    <w:rsid w:val="00220FCF"/>
    <w:rsid w:val="00221D1B"/>
    <w:rsid w:val="00221D6C"/>
    <w:rsid w:val="00222071"/>
    <w:rsid w:val="0022212F"/>
    <w:rsid w:val="00222182"/>
    <w:rsid w:val="0022229C"/>
    <w:rsid w:val="0022291C"/>
    <w:rsid w:val="00222B81"/>
    <w:rsid w:val="002231C3"/>
    <w:rsid w:val="0022330C"/>
    <w:rsid w:val="00223B1F"/>
    <w:rsid w:val="00224214"/>
    <w:rsid w:val="00224A86"/>
    <w:rsid w:val="00226121"/>
    <w:rsid w:val="002264C4"/>
    <w:rsid w:val="002267F7"/>
    <w:rsid w:val="0022696C"/>
    <w:rsid w:val="002304CB"/>
    <w:rsid w:val="00231A00"/>
    <w:rsid w:val="00232EFD"/>
    <w:rsid w:val="00233412"/>
    <w:rsid w:val="00234339"/>
    <w:rsid w:val="00234498"/>
    <w:rsid w:val="00235CD0"/>
    <w:rsid w:val="002361ED"/>
    <w:rsid w:val="0023622A"/>
    <w:rsid w:val="00236EC9"/>
    <w:rsid w:val="00237674"/>
    <w:rsid w:val="00237E72"/>
    <w:rsid w:val="002422C0"/>
    <w:rsid w:val="00242DB0"/>
    <w:rsid w:val="00244F91"/>
    <w:rsid w:val="0024607A"/>
    <w:rsid w:val="00246BF4"/>
    <w:rsid w:val="00251115"/>
    <w:rsid w:val="00251313"/>
    <w:rsid w:val="00251B01"/>
    <w:rsid w:val="002533A5"/>
    <w:rsid w:val="002537C6"/>
    <w:rsid w:val="00254208"/>
    <w:rsid w:val="00254817"/>
    <w:rsid w:val="00254934"/>
    <w:rsid w:val="0025539A"/>
    <w:rsid w:val="002553E3"/>
    <w:rsid w:val="0025688F"/>
    <w:rsid w:val="002578AF"/>
    <w:rsid w:val="00261677"/>
    <w:rsid w:val="002617BF"/>
    <w:rsid w:val="0026435A"/>
    <w:rsid w:val="00264F21"/>
    <w:rsid w:val="002651C8"/>
    <w:rsid w:val="00265939"/>
    <w:rsid w:val="002665D5"/>
    <w:rsid w:val="0026725B"/>
    <w:rsid w:val="00267446"/>
    <w:rsid w:val="00270000"/>
    <w:rsid w:val="002701DC"/>
    <w:rsid w:val="00270290"/>
    <w:rsid w:val="00270A41"/>
    <w:rsid w:val="00270C7A"/>
    <w:rsid w:val="002713EF"/>
    <w:rsid w:val="00271623"/>
    <w:rsid w:val="00271632"/>
    <w:rsid w:val="00272278"/>
    <w:rsid w:val="00273962"/>
    <w:rsid w:val="00274F3E"/>
    <w:rsid w:val="00274F8B"/>
    <w:rsid w:val="00275239"/>
    <w:rsid w:val="002754F9"/>
    <w:rsid w:val="00275D27"/>
    <w:rsid w:val="00276082"/>
    <w:rsid w:val="002772C0"/>
    <w:rsid w:val="002774BB"/>
    <w:rsid w:val="002776FF"/>
    <w:rsid w:val="00280C2D"/>
    <w:rsid w:val="002822E2"/>
    <w:rsid w:val="00283714"/>
    <w:rsid w:val="00283C01"/>
    <w:rsid w:val="00283F35"/>
    <w:rsid w:val="00287E12"/>
    <w:rsid w:val="00290518"/>
    <w:rsid w:val="00291DCE"/>
    <w:rsid w:val="00293139"/>
    <w:rsid w:val="00294703"/>
    <w:rsid w:val="00295AB4"/>
    <w:rsid w:val="00296768"/>
    <w:rsid w:val="00296DF5"/>
    <w:rsid w:val="00297847"/>
    <w:rsid w:val="002A066D"/>
    <w:rsid w:val="002A0ADF"/>
    <w:rsid w:val="002A0B93"/>
    <w:rsid w:val="002A106E"/>
    <w:rsid w:val="002A135C"/>
    <w:rsid w:val="002A1954"/>
    <w:rsid w:val="002A3A1B"/>
    <w:rsid w:val="002A428C"/>
    <w:rsid w:val="002A4BBB"/>
    <w:rsid w:val="002A4F4F"/>
    <w:rsid w:val="002A7CBA"/>
    <w:rsid w:val="002B02D0"/>
    <w:rsid w:val="002B0EF0"/>
    <w:rsid w:val="002B261C"/>
    <w:rsid w:val="002B33BF"/>
    <w:rsid w:val="002B341B"/>
    <w:rsid w:val="002B39D0"/>
    <w:rsid w:val="002B5716"/>
    <w:rsid w:val="002B604A"/>
    <w:rsid w:val="002B610E"/>
    <w:rsid w:val="002B6A6A"/>
    <w:rsid w:val="002B6B0E"/>
    <w:rsid w:val="002B73A9"/>
    <w:rsid w:val="002B7474"/>
    <w:rsid w:val="002B771D"/>
    <w:rsid w:val="002C0C82"/>
    <w:rsid w:val="002C2490"/>
    <w:rsid w:val="002C413C"/>
    <w:rsid w:val="002C4F8C"/>
    <w:rsid w:val="002C5A76"/>
    <w:rsid w:val="002C6514"/>
    <w:rsid w:val="002D01A1"/>
    <w:rsid w:val="002D05E0"/>
    <w:rsid w:val="002D0BC5"/>
    <w:rsid w:val="002D0FE9"/>
    <w:rsid w:val="002D148F"/>
    <w:rsid w:val="002D1966"/>
    <w:rsid w:val="002D1FD0"/>
    <w:rsid w:val="002D2374"/>
    <w:rsid w:val="002D25E0"/>
    <w:rsid w:val="002D277B"/>
    <w:rsid w:val="002D30A6"/>
    <w:rsid w:val="002D36F4"/>
    <w:rsid w:val="002D390F"/>
    <w:rsid w:val="002D3AA5"/>
    <w:rsid w:val="002D4940"/>
    <w:rsid w:val="002D4E94"/>
    <w:rsid w:val="002D56E2"/>
    <w:rsid w:val="002D626B"/>
    <w:rsid w:val="002D64DC"/>
    <w:rsid w:val="002E039C"/>
    <w:rsid w:val="002E0B27"/>
    <w:rsid w:val="002E1B72"/>
    <w:rsid w:val="002E1DB2"/>
    <w:rsid w:val="002E3DF7"/>
    <w:rsid w:val="002E448A"/>
    <w:rsid w:val="002E464A"/>
    <w:rsid w:val="002E4A2A"/>
    <w:rsid w:val="002E4D0C"/>
    <w:rsid w:val="002E516A"/>
    <w:rsid w:val="002E5418"/>
    <w:rsid w:val="002E5B6F"/>
    <w:rsid w:val="002E61EA"/>
    <w:rsid w:val="002F0D86"/>
    <w:rsid w:val="002F210B"/>
    <w:rsid w:val="002F2809"/>
    <w:rsid w:val="002F2958"/>
    <w:rsid w:val="002F2B18"/>
    <w:rsid w:val="002F39A6"/>
    <w:rsid w:val="002F4397"/>
    <w:rsid w:val="002F4F1A"/>
    <w:rsid w:val="002F604A"/>
    <w:rsid w:val="002F672E"/>
    <w:rsid w:val="002F72B2"/>
    <w:rsid w:val="00300603"/>
    <w:rsid w:val="00300870"/>
    <w:rsid w:val="00300B11"/>
    <w:rsid w:val="00301460"/>
    <w:rsid w:val="00301706"/>
    <w:rsid w:val="0030242D"/>
    <w:rsid w:val="00302C8D"/>
    <w:rsid w:val="00305EC6"/>
    <w:rsid w:val="003061B3"/>
    <w:rsid w:val="00310066"/>
    <w:rsid w:val="00310142"/>
    <w:rsid w:val="00310BC5"/>
    <w:rsid w:val="00312185"/>
    <w:rsid w:val="0031222E"/>
    <w:rsid w:val="00313F33"/>
    <w:rsid w:val="00314609"/>
    <w:rsid w:val="0031542B"/>
    <w:rsid w:val="00315606"/>
    <w:rsid w:val="00316DC3"/>
    <w:rsid w:val="00316F11"/>
    <w:rsid w:val="00320118"/>
    <w:rsid w:val="00320376"/>
    <w:rsid w:val="00322598"/>
    <w:rsid w:val="00322816"/>
    <w:rsid w:val="00322A6C"/>
    <w:rsid w:val="00323422"/>
    <w:rsid w:val="003234A2"/>
    <w:rsid w:val="003243B4"/>
    <w:rsid w:val="003256B6"/>
    <w:rsid w:val="00326683"/>
    <w:rsid w:val="00326723"/>
    <w:rsid w:val="003269FA"/>
    <w:rsid w:val="00326DB0"/>
    <w:rsid w:val="00327784"/>
    <w:rsid w:val="00327CA9"/>
    <w:rsid w:val="00327EA4"/>
    <w:rsid w:val="00330CA1"/>
    <w:rsid w:val="00331941"/>
    <w:rsid w:val="003326EC"/>
    <w:rsid w:val="003339BD"/>
    <w:rsid w:val="00333DB2"/>
    <w:rsid w:val="003340DD"/>
    <w:rsid w:val="00334615"/>
    <w:rsid w:val="00334781"/>
    <w:rsid w:val="00334956"/>
    <w:rsid w:val="00334FFF"/>
    <w:rsid w:val="00335075"/>
    <w:rsid w:val="003352A5"/>
    <w:rsid w:val="003358CF"/>
    <w:rsid w:val="00335AEC"/>
    <w:rsid w:val="00335DCF"/>
    <w:rsid w:val="00337D46"/>
    <w:rsid w:val="00340485"/>
    <w:rsid w:val="0034183F"/>
    <w:rsid w:val="00343724"/>
    <w:rsid w:val="00343E1D"/>
    <w:rsid w:val="00344683"/>
    <w:rsid w:val="00344EDB"/>
    <w:rsid w:val="003461B5"/>
    <w:rsid w:val="003461EE"/>
    <w:rsid w:val="00346237"/>
    <w:rsid w:val="00346888"/>
    <w:rsid w:val="00347646"/>
    <w:rsid w:val="00347E8F"/>
    <w:rsid w:val="00350A9E"/>
    <w:rsid w:val="0035139E"/>
    <w:rsid w:val="0035187E"/>
    <w:rsid w:val="003518A2"/>
    <w:rsid w:val="00351B8E"/>
    <w:rsid w:val="00354158"/>
    <w:rsid w:val="00354687"/>
    <w:rsid w:val="003549FF"/>
    <w:rsid w:val="003552CE"/>
    <w:rsid w:val="00355EFB"/>
    <w:rsid w:val="003562FE"/>
    <w:rsid w:val="0035699F"/>
    <w:rsid w:val="00356F51"/>
    <w:rsid w:val="003603B7"/>
    <w:rsid w:val="0036053D"/>
    <w:rsid w:val="0036133F"/>
    <w:rsid w:val="00361B19"/>
    <w:rsid w:val="003633D2"/>
    <w:rsid w:val="0036346C"/>
    <w:rsid w:val="003637C9"/>
    <w:rsid w:val="00363F29"/>
    <w:rsid w:val="00365107"/>
    <w:rsid w:val="00365EA3"/>
    <w:rsid w:val="003678F4"/>
    <w:rsid w:val="00370D99"/>
    <w:rsid w:val="00371099"/>
    <w:rsid w:val="00371460"/>
    <w:rsid w:val="00371D57"/>
    <w:rsid w:val="003724B1"/>
    <w:rsid w:val="00372DEA"/>
    <w:rsid w:val="00373400"/>
    <w:rsid w:val="00373B5A"/>
    <w:rsid w:val="00373CF0"/>
    <w:rsid w:val="0037506E"/>
    <w:rsid w:val="00375537"/>
    <w:rsid w:val="00376239"/>
    <w:rsid w:val="003762FF"/>
    <w:rsid w:val="003768A3"/>
    <w:rsid w:val="00376FD6"/>
    <w:rsid w:val="00377071"/>
    <w:rsid w:val="0038027B"/>
    <w:rsid w:val="00380985"/>
    <w:rsid w:val="00380B7C"/>
    <w:rsid w:val="00380C34"/>
    <w:rsid w:val="00380DF3"/>
    <w:rsid w:val="00380F4C"/>
    <w:rsid w:val="0038104C"/>
    <w:rsid w:val="003822FD"/>
    <w:rsid w:val="00382347"/>
    <w:rsid w:val="0038234E"/>
    <w:rsid w:val="00382409"/>
    <w:rsid w:val="00382A9D"/>
    <w:rsid w:val="00382BFB"/>
    <w:rsid w:val="00383253"/>
    <w:rsid w:val="0038425F"/>
    <w:rsid w:val="00384278"/>
    <w:rsid w:val="0038430F"/>
    <w:rsid w:val="00384683"/>
    <w:rsid w:val="00384D61"/>
    <w:rsid w:val="00386A46"/>
    <w:rsid w:val="00386C3A"/>
    <w:rsid w:val="003873FB"/>
    <w:rsid w:val="00387A91"/>
    <w:rsid w:val="00390197"/>
    <w:rsid w:val="00390BC8"/>
    <w:rsid w:val="003910D3"/>
    <w:rsid w:val="003928E4"/>
    <w:rsid w:val="00392A8D"/>
    <w:rsid w:val="00393EF1"/>
    <w:rsid w:val="00394E97"/>
    <w:rsid w:val="003957AC"/>
    <w:rsid w:val="0039604E"/>
    <w:rsid w:val="00396459"/>
    <w:rsid w:val="00396EA1"/>
    <w:rsid w:val="003A03A1"/>
    <w:rsid w:val="003A0C48"/>
    <w:rsid w:val="003A11BC"/>
    <w:rsid w:val="003A177D"/>
    <w:rsid w:val="003A1DC5"/>
    <w:rsid w:val="003A2151"/>
    <w:rsid w:val="003A3FAC"/>
    <w:rsid w:val="003A5B7F"/>
    <w:rsid w:val="003A6EEB"/>
    <w:rsid w:val="003A75DF"/>
    <w:rsid w:val="003B037D"/>
    <w:rsid w:val="003B2A4D"/>
    <w:rsid w:val="003B33D3"/>
    <w:rsid w:val="003B3C19"/>
    <w:rsid w:val="003B460A"/>
    <w:rsid w:val="003B4638"/>
    <w:rsid w:val="003B4D2D"/>
    <w:rsid w:val="003B53E2"/>
    <w:rsid w:val="003B5A82"/>
    <w:rsid w:val="003B5FFE"/>
    <w:rsid w:val="003B6446"/>
    <w:rsid w:val="003B673E"/>
    <w:rsid w:val="003B78F2"/>
    <w:rsid w:val="003B7E99"/>
    <w:rsid w:val="003C0143"/>
    <w:rsid w:val="003C117F"/>
    <w:rsid w:val="003C13A2"/>
    <w:rsid w:val="003C16FC"/>
    <w:rsid w:val="003C1783"/>
    <w:rsid w:val="003C1C40"/>
    <w:rsid w:val="003C2BED"/>
    <w:rsid w:val="003C33C8"/>
    <w:rsid w:val="003C4A72"/>
    <w:rsid w:val="003C5959"/>
    <w:rsid w:val="003C5EBA"/>
    <w:rsid w:val="003C602F"/>
    <w:rsid w:val="003C62CF"/>
    <w:rsid w:val="003C6530"/>
    <w:rsid w:val="003C6F29"/>
    <w:rsid w:val="003C777C"/>
    <w:rsid w:val="003C78CD"/>
    <w:rsid w:val="003D0D09"/>
    <w:rsid w:val="003D127A"/>
    <w:rsid w:val="003D12A5"/>
    <w:rsid w:val="003D1D3B"/>
    <w:rsid w:val="003D218F"/>
    <w:rsid w:val="003D2AFF"/>
    <w:rsid w:val="003D2B52"/>
    <w:rsid w:val="003D45E0"/>
    <w:rsid w:val="003D60B0"/>
    <w:rsid w:val="003D7302"/>
    <w:rsid w:val="003D756B"/>
    <w:rsid w:val="003E1D98"/>
    <w:rsid w:val="003E2AF4"/>
    <w:rsid w:val="003E2F92"/>
    <w:rsid w:val="003E454F"/>
    <w:rsid w:val="003E4F7E"/>
    <w:rsid w:val="003E53EB"/>
    <w:rsid w:val="003E6BF1"/>
    <w:rsid w:val="003E7140"/>
    <w:rsid w:val="003E79EF"/>
    <w:rsid w:val="003E7AE9"/>
    <w:rsid w:val="003F0126"/>
    <w:rsid w:val="003F0C02"/>
    <w:rsid w:val="003F1141"/>
    <w:rsid w:val="003F196D"/>
    <w:rsid w:val="003F37E2"/>
    <w:rsid w:val="003F3F5B"/>
    <w:rsid w:val="003F4E43"/>
    <w:rsid w:val="003F4FC0"/>
    <w:rsid w:val="003F5E08"/>
    <w:rsid w:val="003F63DE"/>
    <w:rsid w:val="003F768F"/>
    <w:rsid w:val="00400A1F"/>
    <w:rsid w:val="0040154C"/>
    <w:rsid w:val="00403BCF"/>
    <w:rsid w:val="0040406B"/>
    <w:rsid w:val="00404243"/>
    <w:rsid w:val="00407101"/>
    <w:rsid w:val="00407355"/>
    <w:rsid w:val="004077FD"/>
    <w:rsid w:val="00407CC7"/>
    <w:rsid w:val="004103EB"/>
    <w:rsid w:val="0041046C"/>
    <w:rsid w:val="004121BA"/>
    <w:rsid w:val="00412C7A"/>
    <w:rsid w:val="004130C9"/>
    <w:rsid w:val="00416722"/>
    <w:rsid w:val="00420BD1"/>
    <w:rsid w:val="004223EE"/>
    <w:rsid w:val="00422698"/>
    <w:rsid w:val="00423283"/>
    <w:rsid w:val="00424ED1"/>
    <w:rsid w:val="0042513F"/>
    <w:rsid w:val="004259BD"/>
    <w:rsid w:val="00425D81"/>
    <w:rsid w:val="00425E58"/>
    <w:rsid w:val="004267BB"/>
    <w:rsid w:val="004271F9"/>
    <w:rsid w:val="00427703"/>
    <w:rsid w:val="004302BE"/>
    <w:rsid w:val="00431221"/>
    <w:rsid w:val="00432D62"/>
    <w:rsid w:val="00432E16"/>
    <w:rsid w:val="004333BC"/>
    <w:rsid w:val="004333CF"/>
    <w:rsid w:val="00436127"/>
    <w:rsid w:val="0044007C"/>
    <w:rsid w:val="004402E0"/>
    <w:rsid w:val="0044060C"/>
    <w:rsid w:val="00440DCF"/>
    <w:rsid w:val="00441A94"/>
    <w:rsid w:val="00441D55"/>
    <w:rsid w:val="004422BB"/>
    <w:rsid w:val="00442C6D"/>
    <w:rsid w:val="00442EE4"/>
    <w:rsid w:val="00443181"/>
    <w:rsid w:val="00443849"/>
    <w:rsid w:val="00443ECA"/>
    <w:rsid w:val="0044486C"/>
    <w:rsid w:val="00444D30"/>
    <w:rsid w:val="00444D77"/>
    <w:rsid w:val="004458BE"/>
    <w:rsid w:val="0044695E"/>
    <w:rsid w:val="004478AE"/>
    <w:rsid w:val="00447DA2"/>
    <w:rsid w:val="00451683"/>
    <w:rsid w:val="00451EB0"/>
    <w:rsid w:val="00453202"/>
    <w:rsid w:val="00454750"/>
    <w:rsid w:val="00454A23"/>
    <w:rsid w:val="00454BAE"/>
    <w:rsid w:val="00454D86"/>
    <w:rsid w:val="00454EFE"/>
    <w:rsid w:val="00456B9D"/>
    <w:rsid w:val="00457202"/>
    <w:rsid w:val="00457600"/>
    <w:rsid w:val="004576AA"/>
    <w:rsid w:val="004601D7"/>
    <w:rsid w:val="004602F9"/>
    <w:rsid w:val="004605C1"/>
    <w:rsid w:val="00462F37"/>
    <w:rsid w:val="004634B4"/>
    <w:rsid w:val="004635AC"/>
    <w:rsid w:val="00463990"/>
    <w:rsid w:val="004655F5"/>
    <w:rsid w:val="00466531"/>
    <w:rsid w:val="00466A02"/>
    <w:rsid w:val="00466F96"/>
    <w:rsid w:val="004670B7"/>
    <w:rsid w:val="0046729D"/>
    <w:rsid w:val="004676F7"/>
    <w:rsid w:val="00467A8E"/>
    <w:rsid w:val="00470B43"/>
    <w:rsid w:val="00470B75"/>
    <w:rsid w:val="004717FF"/>
    <w:rsid w:val="00471C46"/>
    <w:rsid w:val="00471DE5"/>
    <w:rsid w:val="00471FBA"/>
    <w:rsid w:val="0047290D"/>
    <w:rsid w:val="004739F6"/>
    <w:rsid w:val="00473C18"/>
    <w:rsid w:val="004740EE"/>
    <w:rsid w:val="00474695"/>
    <w:rsid w:val="00474B4B"/>
    <w:rsid w:val="00475904"/>
    <w:rsid w:val="00476693"/>
    <w:rsid w:val="0047706A"/>
    <w:rsid w:val="00477888"/>
    <w:rsid w:val="00477B18"/>
    <w:rsid w:val="004801CD"/>
    <w:rsid w:val="004832BE"/>
    <w:rsid w:val="00484097"/>
    <w:rsid w:val="0048457E"/>
    <w:rsid w:val="00484FC3"/>
    <w:rsid w:val="00485127"/>
    <w:rsid w:val="0048540E"/>
    <w:rsid w:val="0048754C"/>
    <w:rsid w:val="00492065"/>
    <w:rsid w:val="0049240D"/>
    <w:rsid w:val="00492BFD"/>
    <w:rsid w:val="00493C4B"/>
    <w:rsid w:val="00494D56"/>
    <w:rsid w:val="00494E59"/>
    <w:rsid w:val="00495041"/>
    <w:rsid w:val="004956C0"/>
    <w:rsid w:val="00495991"/>
    <w:rsid w:val="00497269"/>
    <w:rsid w:val="004973AA"/>
    <w:rsid w:val="004A13E4"/>
    <w:rsid w:val="004A1604"/>
    <w:rsid w:val="004A274F"/>
    <w:rsid w:val="004A2F47"/>
    <w:rsid w:val="004A39C1"/>
    <w:rsid w:val="004A3D8C"/>
    <w:rsid w:val="004A5599"/>
    <w:rsid w:val="004A68BE"/>
    <w:rsid w:val="004A70C5"/>
    <w:rsid w:val="004B05B2"/>
    <w:rsid w:val="004B0D43"/>
    <w:rsid w:val="004B2999"/>
    <w:rsid w:val="004B3F0C"/>
    <w:rsid w:val="004B7985"/>
    <w:rsid w:val="004B7FE6"/>
    <w:rsid w:val="004C0017"/>
    <w:rsid w:val="004C010D"/>
    <w:rsid w:val="004C05AD"/>
    <w:rsid w:val="004C17CB"/>
    <w:rsid w:val="004C19EE"/>
    <w:rsid w:val="004C25DD"/>
    <w:rsid w:val="004C264A"/>
    <w:rsid w:val="004C3E03"/>
    <w:rsid w:val="004C4034"/>
    <w:rsid w:val="004C4228"/>
    <w:rsid w:val="004C4341"/>
    <w:rsid w:val="004C582B"/>
    <w:rsid w:val="004C5A5E"/>
    <w:rsid w:val="004C5CC0"/>
    <w:rsid w:val="004C677F"/>
    <w:rsid w:val="004C7233"/>
    <w:rsid w:val="004D0A38"/>
    <w:rsid w:val="004D1433"/>
    <w:rsid w:val="004D2217"/>
    <w:rsid w:val="004D225F"/>
    <w:rsid w:val="004D3D03"/>
    <w:rsid w:val="004D488F"/>
    <w:rsid w:val="004D52F8"/>
    <w:rsid w:val="004D552E"/>
    <w:rsid w:val="004D5CB8"/>
    <w:rsid w:val="004D5EFA"/>
    <w:rsid w:val="004D6731"/>
    <w:rsid w:val="004D7006"/>
    <w:rsid w:val="004D741F"/>
    <w:rsid w:val="004D76D9"/>
    <w:rsid w:val="004D783A"/>
    <w:rsid w:val="004D78A3"/>
    <w:rsid w:val="004D7AAA"/>
    <w:rsid w:val="004E0732"/>
    <w:rsid w:val="004E1521"/>
    <w:rsid w:val="004E17B3"/>
    <w:rsid w:val="004E1CD1"/>
    <w:rsid w:val="004E26AA"/>
    <w:rsid w:val="004E2EE9"/>
    <w:rsid w:val="004E3603"/>
    <w:rsid w:val="004E4043"/>
    <w:rsid w:val="004E4619"/>
    <w:rsid w:val="004E4808"/>
    <w:rsid w:val="004E50CA"/>
    <w:rsid w:val="004E54EA"/>
    <w:rsid w:val="004E5DAE"/>
    <w:rsid w:val="004E6316"/>
    <w:rsid w:val="004E7130"/>
    <w:rsid w:val="004E73E8"/>
    <w:rsid w:val="004F1097"/>
    <w:rsid w:val="004F1395"/>
    <w:rsid w:val="004F2475"/>
    <w:rsid w:val="004F27B3"/>
    <w:rsid w:val="004F364B"/>
    <w:rsid w:val="004F3C3B"/>
    <w:rsid w:val="004F4501"/>
    <w:rsid w:val="004F518C"/>
    <w:rsid w:val="004F5358"/>
    <w:rsid w:val="004F56C1"/>
    <w:rsid w:val="004F5DF4"/>
    <w:rsid w:val="004F60C9"/>
    <w:rsid w:val="004F637E"/>
    <w:rsid w:val="00500109"/>
    <w:rsid w:val="005002FE"/>
    <w:rsid w:val="00501361"/>
    <w:rsid w:val="00501557"/>
    <w:rsid w:val="00501966"/>
    <w:rsid w:val="0050202A"/>
    <w:rsid w:val="005040BC"/>
    <w:rsid w:val="00504105"/>
    <w:rsid w:val="0050523A"/>
    <w:rsid w:val="00506E90"/>
    <w:rsid w:val="005076DF"/>
    <w:rsid w:val="00510F80"/>
    <w:rsid w:val="00511A31"/>
    <w:rsid w:val="00511FAF"/>
    <w:rsid w:val="0051276B"/>
    <w:rsid w:val="00512C1D"/>
    <w:rsid w:val="00512C95"/>
    <w:rsid w:val="005143EA"/>
    <w:rsid w:val="005149BD"/>
    <w:rsid w:val="00515ACA"/>
    <w:rsid w:val="00515C16"/>
    <w:rsid w:val="0052095C"/>
    <w:rsid w:val="005222FA"/>
    <w:rsid w:val="0052238D"/>
    <w:rsid w:val="0052263D"/>
    <w:rsid w:val="00523327"/>
    <w:rsid w:val="005235BF"/>
    <w:rsid w:val="00523B2E"/>
    <w:rsid w:val="00523EC3"/>
    <w:rsid w:val="0052432B"/>
    <w:rsid w:val="00524AAF"/>
    <w:rsid w:val="00524D02"/>
    <w:rsid w:val="0052599A"/>
    <w:rsid w:val="005263D2"/>
    <w:rsid w:val="00526A46"/>
    <w:rsid w:val="0052746C"/>
    <w:rsid w:val="00527D26"/>
    <w:rsid w:val="0053027C"/>
    <w:rsid w:val="00531261"/>
    <w:rsid w:val="00532B80"/>
    <w:rsid w:val="00532C1F"/>
    <w:rsid w:val="00533339"/>
    <w:rsid w:val="005336AD"/>
    <w:rsid w:val="00533DDE"/>
    <w:rsid w:val="00534B9C"/>
    <w:rsid w:val="00535E45"/>
    <w:rsid w:val="00535F0E"/>
    <w:rsid w:val="005367BF"/>
    <w:rsid w:val="00540B94"/>
    <w:rsid w:val="00540C39"/>
    <w:rsid w:val="00541A0F"/>
    <w:rsid w:val="005429C6"/>
    <w:rsid w:val="00542FB0"/>
    <w:rsid w:val="00543ABD"/>
    <w:rsid w:val="00544356"/>
    <w:rsid w:val="00544687"/>
    <w:rsid w:val="00544730"/>
    <w:rsid w:val="0054504F"/>
    <w:rsid w:val="005452B1"/>
    <w:rsid w:val="005458CF"/>
    <w:rsid w:val="00546660"/>
    <w:rsid w:val="00546BC0"/>
    <w:rsid w:val="00546D48"/>
    <w:rsid w:val="00546EBA"/>
    <w:rsid w:val="005501C9"/>
    <w:rsid w:val="00550366"/>
    <w:rsid w:val="005503CE"/>
    <w:rsid w:val="0055144D"/>
    <w:rsid w:val="00551EC6"/>
    <w:rsid w:val="00552074"/>
    <w:rsid w:val="00552320"/>
    <w:rsid w:val="00553810"/>
    <w:rsid w:val="00553F38"/>
    <w:rsid w:val="00554182"/>
    <w:rsid w:val="00556C01"/>
    <w:rsid w:val="00556F3B"/>
    <w:rsid w:val="00557DD2"/>
    <w:rsid w:val="00560273"/>
    <w:rsid w:val="00560777"/>
    <w:rsid w:val="00560A6F"/>
    <w:rsid w:val="00561107"/>
    <w:rsid w:val="00561871"/>
    <w:rsid w:val="0056190A"/>
    <w:rsid w:val="005620A6"/>
    <w:rsid w:val="00563A13"/>
    <w:rsid w:val="00564340"/>
    <w:rsid w:val="005647D9"/>
    <w:rsid w:val="00564B14"/>
    <w:rsid w:val="005676F0"/>
    <w:rsid w:val="00570142"/>
    <w:rsid w:val="00570D56"/>
    <w:rsid w:val="00571D4C"/>
    <w:rsid w:val="005721AA"/>
    <w:rsid w:val="005722E8"/>
    <w:rsid w:val="00572781"/>
    <w:rsid w:val="005728B3"/>
    <w:rsid w:val="00572A90"/>
    <w:rsid w:val="00574075"/>
    <w:rsid w:val="00574A73"/>
    <w:rsid w:val="0057501B"/>
    <w:rsid w:val="005756DF"/>
    <w:rsid w:val="005762A6"/>
    <w:rsid w:val="00580D31"/>
    <w:rsid w:val="005812A9"/>
    <w:rsid w:val="00582459"/>
    <w:rsid w:val="005824A4"/>
    <w:rsid w:val="00582B71"/>
    <w:rsid w:val="00583395"/>
    <w:rsid w:val="00583B37"/>
    <w:rsid w:val="00586557"/>
    <w:rsid w:val="00586A5D"/>
    <w:rsid w:val="0058718F"/>
    <w:rsid w:val="00587BDA"/>
    <w:rsid w:val="0059113D"/>
    <w:rsid w:val="00593438"/>
    <w:rsid w:val="00594191"/>
    <w:rsid w:val="0059459A"/>
    <w:rsid w:val="00594C26"/>
    <w:rsid w:val="0059553E"/>
    <w:rsid w:val="00595948"/>
    <w:rsid w:val="005960EC"/>
    <w:rsid w:val="00596740"/>
    <w:rsid w:val="005A1AF1"/>
    <w:rsid w:val="005A1D89"/>
    <w:rsid w:val="005A1F20"/>
    <w:rsid w:val="005A286A"/>
    <w:rsid w:val="005A3B7A"/>
    <w:rsid w:val="005A3D9E"/>
    <w:rsid w:val="005A4EC9"/>
    <w:rsid w:val="005A54F6"/>
    <w:rsid w:val="005A577C"/>
    <w:rsid w:val="005A6326"/>
    <w:rsid w:val="005A6A1D"/>
    <w:rsid w:val="005A7517"/>
    <w:rsid w:val="005A78A6"/>
    <w:rsid w:val="005A7B72"/>
    <w:rsid w:val="005B0E41"/>
    <w:rsid w:val="005B1570"/>
    <w:rsid w:val="005B258D"/>
    <w:rsid w:val="005B2B92"/>
    <w:rsid w:val="005B48CD"/>
    <w:rsid w:val="005B4F59"/>
    <w:rsid w:val="005B5BFC"/>
    <w:rsid w:val="005B6288"/>
    <w:rsid w:val="005B65AE"/>
    <w:rsid w:val="005C1C17"/>
    <w:rsid w:val="005C205F"/>
    <w:rsid w:val="005C20AF"/>
    <w:rsid w:val="005C28F2"/>
    <w:rsid w:val="005C2EBD"/>
    <w:rsid w:val="005C3687"/>
    <w:rsid w:val="005C3F21"/>
    <w:rsid w:val="005C51F9"/>
    <w:rsid w:val="005C5902"/>
    <w:rsid w:val="005C5F17"/>
    <w:rsid w:val="005C6D2B"/>
    <w:rsid w:val="005C73E1"/>
    <w:rsid w:val="005C7B72"/>
    <w:rsid w:val="005D00DC"/>
    <w:rsid w:val="005D0310"/>
    <w:rsid w:val="005D0478"/>
    <w:rsid w:val="005D18CD"/>
    <w:rsid w:val="005D2117"/>
    <w:rsid w:val="005D2E0E"/>
    <w:rsid w:val="005D3164"/>
    <w:rsid w:val="005D352A"/>
    <w:rsid w:val="005D3609"/>
    <w:rsid w:val="005D4A35"/>
    <w:rsid w:val="005D5248"/>
    <w:rsid w:val="005D61B9"/>
    <w:rsid w:val="005D6276"/>
    <w:rsid w:val="005D7834"/>
    <w:rsid w:val="005E1A8A"/>
    <w:rsid w:val="005E25B1"/>
    <w:rsid w:val="005E2DF9"/>
    <w:rsid w:val="005E3380"/>
    <w:rsid w:val="005E365B"/>
    <w:rsid w:val="005E3FDB"/>
    <w:rsid w:val="005E45F1"/>
    <w:rsid w:val="005E639E"/>
    <w:rsid w:val="005E6D41"/>
    <w:rsid w:val="005E7CFD"/>
    <w:rsid w:val="005F0389"/>
    <w:rsid w:val="005F0639"/>
    <w:rsid w:val="005F1415"/>
    <w:rsid w:val="005F1DAD"/>
    <w:rsid w:val="005F221F"/>
    <w:rsid w:val="005F2C7F"/>
    <w:rsid w:val="005F36A5"/>
    <w:rsid w:val="005F37A6"/>
    <w:rsid w:val="005F3E41"/>
    <w:rsid w:val="005F3E58"/>
    <w:rsid w:val="005F7D66"/>
    <w:rsid w:val="00600A65"/>
    <w:rsid w:val="00600FB6"/>
    <w:rsid w:val="00601B1C"/>
    <w:rsid w:val="006022C9"/>
    <w:rsid w:val="00603248"/>
    <w:rsid w:val="0060527E"/>
    <w:rsid w:val="00605A06"/>
    <w:rsid w:val="00606946"/>
    <w:rsid w:val="006101F8"/>
    <w:rsid w:val="006102B7"/>
    <w:rsid w:val="00610FC1"/>
    <w:rsid w:val="00611516"/>
    <w:rsid w:val="0061188C"/>
    <w:rsid w:val="00611E59"/>
    <w:rsid w:val="006120F4"/>
    <w:rsid w:val="00613314"/>
    <w:rsid w:val="006136DD"/>
    <w:rsid w:val="00615264"/>
    <w:rsid w:val="006154C5"/>
    <w:rsid w:val="00616F35"/>
    <w:rsid w:val="0062008A"/>
    <w:rsid w:val="00620784"/>
    <w:rsid w:val="006207D3"/>
    <w:rsid w:val="00620A32"/>
    <w:rsid w:val="00621122"/>
    <w:rsid w:val="00621174"/>
    <w:rsid w:val="006212BD"/>
    <w:rsid w:val="0062191C"/>
    <w:rsid w:val="006220A2"/>
    <w:rsid w:val="006228F0"/>
    <w:rsid w:val="006232F0"/>
    <w:rsid w:val="00625022"/>
    <w:rsid w:val="00625F31"/>
    <w:rsid w:val="00626A0E"/>
    <w:rsid w:val="006273D1"/>
    <w:rsid w:val="006300B6"/>
    <w:rsid w:val="0063069C"/>
    <w:rsid w:val="00630FBD"/>
    <w:rsid w:val="0063266C"/>
    <w:rsid w:val="00632787"/>
    <w:rsid w:val="006335F9"/>
    <w:rsid w:val="0063396A"/>
    <w:rsid w:val="0063417F"/>
    <w:rsid w:val="0063463E"/>
    <w:rsid w:val="00634831"/>
    <w:rsid w:val="00634C62"/>
    <w:rsid w:val="00635151"/>
    <w:rsid w:val="00635225"/>
    <w:rsid w:val="00635308"/>
    <w:rsid w:val="00635777"/>
    <w:rsid w:val="00635E4A"/>
    <w:rsid w:val="00635E89"/>
    <w:rsid w:val="006369E2"/>
    <w:rsid w:val="00636C21"/>
    <w:rsid w:val="00636E86"/>
    <w:rsid w:val="00637C60"/>
    <w:rsid w:val="00637DB4"/>
    <w:rsid w:val="0064179C"/>
    <w:rsid w:val="00641D64"/>
    <w:rsid w:val="00641DD7"/>
    <w:rsid w:val="006426B2"/>
    <w:rsid w:val="006435C1"/>
    <w:rsid w:val="00644544"/>
    <w:rsid w:val="00644D29"/>
    <w:rsid w:val="0064652B"/>
    <w:rsid w:val="00646A39"/>
    <w:rsid w:val="00647A05"/>
    <w:rsid w:val="00647E34"/>
    <w:rsid w:val="00650472"/>
    <w:rsid w:val="00650E40"/>
    <w:rsid w:val="0065156C"/>
    <w:rsid w:val="00651A44"/>
    <w:rsid w:val="00651B6F"/>
    <w:rsid w:val="00651EE6"/>
    <w:rsid w:val="00652823"/>
    <w:rsid w:val="00652B4B"/>
    <w:rsid w:val="00653C04"/>
    <w:rsid w:val="00653DD5"/>
    <w:rsid w:val="00653FAD"/>
    <w:rsid w:val="00654566"/>
    <w:rsid w:val="0065574A"/>
    <w:rsid w:val="00655FCC"/>
    <w:rsid w:val="006567D0"/>
    <w:rsid w:val="006603C5"/>
    <w:rsid w:val="006603DB"/>
    <w:rsid w:val="006618A3"/>
    <w:rsid w:val="006618E9"/>
    <w:rsid w:val="00662235"/>
    <w:rsid w:val="00662260"/>
    <w:rsid w:val="00663619"/>
    <w:rsid w:val="00664197"/>
    <w:rsid w:val="006659F3"/>
    <w:rsid w:val="0066613B"/>
    <w:rsid w:val="0066635C"/>
    <w:rsid w:val="00666710"/>
    <w:rsid w:val="00667409"/>
    <w:rsid w:val="006706F7"/>
    <w:rsid w:val="00670A6E"/>
    <w:rsid w:val="00670BC2"/>
    <w:rsid w:val="0067143A"/>
    <w:rsid w:val="0067150F"/>
    <w:rsid w:val="00671559"/>
    <w:rsid w:val="0067166F"/>
    <w:rsid w:val="00671811"/>
    <w:rsid w:val="00671C0C"/>
    <w:rsid w:val="006723D9"/>
    <w:rsid w:val="00673015"/>
    <w:rsid w:val="006730B5"/>
    <w:rsid w:val="00673316"/>
    <w:rsid w:val="006733D2"/>
    <w:rsid w:val="006733F7"/>
    <w:rsid w:val="00675422"/>
    <w:rsid w:val="00675B9D"/>
    <w:rsid w:val="0067678E"/>
    <w:rsid w:val="00676E36"/>
    <w:rsid w:val="00677221"/>
    <w:rsid w:val="006778F7"/>
    <w:rsid w:val="00681EB9"/>
    <w:rsid w:val="00682F61"/>
    <w:rsid w:val="00683346"/>
    <w:rsid w:val="00683C7C"/>
    <w:rsid w:val="00684223"/>
    <w:rsid w:val="006862E9"/>
    <w:rsid w:val="00686348"/>
    <w:rsid w:val="00686AB9"/>
    <w:rsid w:val="00686F8C"/>
    <w:rsid w:val="00687801"/>
    <w:rsid w:val="00692158"/>
    <w:rsid w:val="006921B4"/>
    <w:rsid w:val="006929FF"/>
    <w:rsid w:val="0069482A"/>
    <w:rsid w:val="00694CA1"/>
    <w:rsid w:val="0069686C"/>
    <w:rsid w:val="006A0239"/>
    <w:rsid w:val="006A0420"/>
    <w:rsid w:val="006A11B1"/>
    <w:rsid w:val="006A1C39"/>
    <w:rsid w:val="006A5529"/>
    <w:rsid w:val="006A556F"/>
    <w:rsid w:val="006A61C4"/>
    <w:rsid w:val="006A6A83"/>
    <w:rsid w:val="006A781B"/>
    <w:rsid w:val="006B03F7"/>
    <w:rsid w:val="006B0947"/>
    <w:rsid w:val="006B0A39"/>
    <w:rsid w:val="006B0E5A"/>
    <w:rsid w:val="006B2161"/>
    <w:rsid w:val="006B2798"/>
    <w:rsid w:val="006B2E25"/>
    <w:rsid w:val="006B3CB0"/>
    <w:rsid w:val="006B451A"/>
    <w:rsid w:val="006B50DA"/>
    <w:rsid w:val="006B58CB"/>
    <w:rsid w:val="006B5F4C"/>
    <w:rsid w:val="006B61E7"/>
    <w:rsid w:val="006B68B0"/>
    <w:rsid w:val="006B713C"/>
    <w:rsid w:val="006C018D"/>
    <w:rsid w:val="006C0674"/>
    <w:rsid w:val="006C175A"/>
    <w:rsid w:val="006C265B"/>
    <w:rsid w:val="006C2B82"/>
    <w:rsid w:val="006C340E"/>
    <w:rsid w:val="006C34CA"/>
    <w:rsid w:val="006C3AB7"/>
    <w:rsid w:val="006C3BEF"/>
    <w:rsid w:val="006C49F6"/>
    <w:rsid w:val="006C4A34"/>
    <w:rsid w:val="006C54DC"/>
    <w:rsid w:val="006C576D"/>
    <w:rsid w:val="006C5AB0"/>
    <w:rsid w:val="006C5AE4"/>
    <w:rsid w:val="006C6043"/>
    <w:rsid w:val="006C6219"/>
    <w:rsid w:val="006C702E"/>
    <w:rsid w:val="006C7746"/>
    <w:rsid w:val="006C7F83"/>
    <w:rsid w:val="006D19A3"/>
    <w:rsid w:val="006D1A75"/>
    <w:rsid w:val="006D1EB0"/>
    <w:rsid w:val="006D2697"/>
    <w:rsid w:val="006D3367"/>
    <w:rsid w:val="006D4099"/>
    <w:rsid w:val="006D5B50"/>
    <w:rsid w:val="006D6FBF"/>
    <w:rsid w:val="006D7E46"/>
    <w:rsid w:val="006E02B4"/>
    <w:rsid w:val="006E0802"/>
    <w:rsid w:val="006E3318"/>
    <w:rsid w:val="006E351A"/>
    <w:rsid w:val="006E36EE"/>
    <w:rsid w:val="006E4530"/>
    <w:rsid w:val="006E4702"/>
    <w:rsid w:val="006E550E"/>
    <w:rsid w:val="006E6050"/>
    <w:rsid w:val="006E6AAA"/>
    <w:rsid w:val="006E7017"/>
    <w:rsid w:val="006E73E7"/>
    <w:rsid w:val="006E7413"/>
    <w:rsid w:val="006E7CA7"/>
    <w:rsid w:val="006F03BF"/>
    <w:rsid w:val="006F0A95"/>
    <w:rsid w:val="006F16F4"/>
    <w:rsid w:val="006F1B84"/>
    <w:rsid w:val="006F265D"/>
    <w:rsid w:val="006F2B9A"/>
    <w:rsid w:val="006F2DE8"/>
    <w:rsid w:val="006F31AF"/>
    <w:rsid w:val="006F4174"/>
    <w:rsid w:val="006F456D"/>
    <w:rsid w:val="006F4812"/>
    <w:rsid w:val="006F586E"/>
    <w:rsid w:val="0070052A"/>
    <w:rsid w:val="0070142F"/>
    <w:rsid w:val="00702ADA"/>
    <w:rsid w:val="00702FE0"/>
    <w:rsid w:val="0070330F"/>
    <w:rsid w:val="00704304"/>
    <w:rsid w:val="00704344"/>
    <w:rsid w:val="007043B4"/>
    <w:rsid w:val="00705818"/>
    <w:rsid w:val="007059A4"/>
    <w:rsid w:val="00705DFD"/>
    <w:rsid w:val="0070653D"/>
    <w:rsid w:val="007105E4"/>
    <w:rsid w:val="00711F53"/>
    <w:rsid w:val="00712873"/>
    <w:rsid w:val="007143B9"/>
    <w:rsid w:val="00714C8E"/>
    <w:rsid w:val="0071521F"/>
    <w:rsid w:val="00715AD5"/>
    <w:rsid w:val="00716170"/>
    <w:rsid w:val="00716543"/>
    <w:rsid w:val="00716DDA"/>
    <w:rsid w:val="007176DE"/>
    <w:rsid w:val="007177E8"/>
    <w:rsid w:val="007205A6"/>
    <w:rsid w:val="00720698"/>
    <w:rsid w:val="00720DFA"/>
    <w:rsid w:val="00721FCC"/>
    <w:rsid w:val="00722A87"/>
    <w:rsid w:val="00725655"/>
    <w:rsid w:val="007269AF"/>
    <w:rsid w:val="00726B61"/>
    <w:rsid w:val="00726C81"/>
    <w:rsid w:val="0073002D"/>
    <w:rsid w:val="00730CC5"/>
    <w:rsid w:val="00730E7C"/>
    <w:rsid w:val="00732DA5"/>
    <w:rsid w:val="007339A0"/>
    <w:rsid w:val="00733AA6"/>
    <w:rsid w:val="00733BDC"/>
    <w:rsid w:val="00734062"/>
    <w:rsid w:val="007345E5"/>
    <w:rsid w:val="00734633"/>
    <w:rsid w:val="00734956"/>
    <w:rsid w:val="007352C2"/>
    <w:rsid w:val="00735306"/>
    <w:rsid w:val="00735902"/>
    <w:rsid w:val="00735AD7"/>
    <w:rsid w:val="00735E7A"/>
    <w:rsid w:val="00736D8F"/>
    <w:rsid w:val="0073763D"/>
    <w:rsid w:val="007379E9"/>
    <w:rsid w:val="00740221"/>
    <w:rsid w:val="007405B5"/>
    <w:rsid w:val="00741D95"/>
    <w:rsid w:val="00741E78"/>
    <w:rsid w:val="00742A85"/>
    <w:rsid w:val="00743989"/>
    <w:rsid w:val="007448C8"/>
    <w:rsid w:val="00746156"/>
    <w:rsid w:val="00746EE6"/>
    <w:rsid w:val="00750671"/>
    <w:rsid w:val="00751348"/>
    <w:rsid w:val="00751FB2"/>
    <w:rsid w:val="007527AD"/>
    <w:rsid w:val="007530FD"/>
    <w:rsid w:val="007545B6"/>
    <w:rsid w:val="00754C67"/>
    <w:rsid w:val="00755220"/>
    <w:rsid w:val="00755826"/>
    <w:rsid w:val="00755CEC"/>
    <w:rsid w:val="007565B3"/>
    <w:rsid w:val="00756D92"/>
    <w:rsid w:val="00756F76"/>
    <w:rsid w:val="007578B3"/>
    <w:rsid w:val="00757A06"/>
    <w:rsid w:val="00760617"/>
    <w:rsid w:val="00761533"/>
    <w:rsid w:val="00761FFE"/>
    <w:rsid w:val="0076289B"/>
    <w:rsid w:val="00763478"/>
    <w:rsid w:val="00763F1C"/>
    <w:rsid w:val="00764D46"/>
    <w:rsid w:val="00764E2F"/>
    <w:rsid w:val="00764E52"/>
    <w:rsid w:val="00765D2B"/>
    <w:rsid w:val="007660B2"/>
    <w:rsid w:val="0076678A"/>
    <w:rsid w:val="00767377"/>
    <w:rsid w:val="00767DA6"/>
    <w:rsid w:val="0077087C"/>
    <w:rsid w:val="00771419"/>
    <w:rsid w:val="0077149C"/>
    <w:rsid w:val="0077264D"/>
    <w:rsid w:val="00772DDD"/>
    <w:rsid w:val="00773DA6"/>
    <w:rsid w:val="00774467"/>
    <w:rsid w:val="00774855"/>
    <w:rsid w:val="00774ACE"/>
    <w:rsid w:val="00774BC6"/>
    <w:rsid w:val="00775B06"/>
    <w:rsid w:val="00775D24"/>
    <w:rsid w:val="007800EA"/>
    <w:rsid w:val="00780BB5"/>
    <w:rsid w:val="00780C10"/>
    <w:rsid w:val="00780FF3"/>
    <w:rsid w:val="0078153D"/>
    <w:rsid w:val="007817D1"/>
    <w:rsid w:val="007823E6"/>
    <w:rsid w:val="00783413"/>
    <w:rsid w:val="00784177"/>
    <w:rsid w:val="00784F05"/>
    <w:rsid w:val="00785B61"/>
    <w:rsid w:val="00786D11"/>
    <w:rsid w:val="007873E3"/>
    <w:rsid w:val="00787FAE"/>
    <w:rsid w:val="00790D5C"/>
    <w:rsid w:val="00794058"/>
    <w:rsid w:val="007941BF"/>
    <w:rsid w:val="0079658F"/>
    <w:rsid w:val="00797639"/>
    <w:rsid w:val="007976F7"/>
    <w:rsid w:val="00797E77"/>
    <w:rsid w:val="007A013E"/>
    <w:rsid w:val="007A079C"/>
    <w:rsid w:val="007A0F46"/>
    <w:rsid w:val="007A22C0"/>
    <w:rsid w:val="007A3A52"/>
    <w:rsid w:val="007A4234"/>
    <w:rsid w:val="007A428B"/>
    <w:rsid w:val="007A437C"/>
    <w:rsid w:val="007A44EA"/>
    <w:rsid w:val="007A506E"/>
    <w:rsid w:val="007A654B"/>
    <w:rsid w:val="007A6FBD"/>
    <w:rsid w:val="007B1F1D"/>
    <w:rsid w:val="007B252E"/>
    <w:rsid w:val="007B3603"/>
    <w:rsid w:val="007B385F"/>
    <w:rsid w:val="007B4490"/>
    <w:rsid w:val="007B4936"/>
    <w:rsid w:val="007B4AA1"/>
    <w:rsid w:val="007B4EE1"/>
    <w:rsid w:val="007B5123"/>
    <w:rsid w:val="007B70F3"/>
    <w:rsid w:val="007B7B7D"/>
    <w:rsid w:val="007C0117"/>
    <w:rsid w:val="007C06C9"/>
    <w:rsid w:val="007C0B5B"/>
    <w:rsid w:val="007C1272"/>
    <w:rsid w:val="007C17E1"/>
    <w:rsid w:val="007C3058"/>
    <w:rsid w:val="007C4A43"/>
    <w:rsid w:val="007C5334"/>
    <w:rsid w:val="007C5576"/>
    <w:rsid w:val="007C56F2"/>
    <w:rsid w:val="007C6917"/>
    <w:rsid w:val="007C7C3E"/>
    <w:rsid w:val="007D19F4"/>
    <w:rsid w:val="007D2029"/>
    <w:rsid w:val="007D224C"/>
    <w:rsid w:val="007D297B"/>
    <w:rsid w:val="007D29E2"/>
    <w:rsid w:val="007D3B1A"/>
    <w:rsid w:val="007D4712"/>
    <w:rsid w:val="007D474C"/>
    <w:rsid w:val="007D6341"/>
    <w:rsid w:val="007E2CA4"/>
    <w:rsid w:val="007E3F45"/>
    <w:rsid w:val="007E4F65"/>
    <w:rsid w:val="007E7E57"/>
    <w:rsid w:val="007F022C"/>
    <w:rsid w:val="007F0E48"/>
    <w:rsid w:val="007F3D52"/>
    <w:rsid w:val="007F3F5A"/>
    <w:rsid w:val="007F548C"/>
    <w:rsid w:val="007F5E37"/>
    <w:rsid w:val="007F5FF2"/>
    <w:rsid w:val="007F62C2"/>
    <w:rsid w:val="007F6B81"/>
    <w:rsid w:val="007F7C79"/>
    <w:rsid w:val="007F7F2F"/>
    <w:rsid w:val="00800768"/>
    <w:rsid w:val="008009F4"/>
    <w:rsid w:val="00800DD4"/>
    <w:rsid w:val="00800F34"/>
    <w:rsid w:val="008014B3"/>
    <w:rsid w:val="0080471E"/>
    <w:rsid w:val="0080516C"/>
    <w:rsid w:val="00807423"/>
    <w:rsid w:val="008112B1"/>
    <w:rsid w:val="008115B4"/>
    <w:rsid w:val="0081340E"/>
    <w:rsid w:val="00813A46"/>
    <w:rsid w:val="008145AF"/>
    <w:rsid w:val="00815B98"/>
    <w:rsid w:val="00815F1E"/>
    <w:rsid w:val="00816893"/>
    <w:rsid w:val="00816921"/>
    <w:rsid w:val="00817966"/>
    <w:rsid w:val="0082087F"/>
    <w:rsid w:val="00820F60"/>
    <w:rsid w:val="00821175"/>
    <w:rsid w:val="00821752"/>
    <w:rsid w:val="00823BE4"/>
    <w:rsid w:val="00824416"/>
    <w:rsid w:val="0082443E"/>
    <w:rsid w:val="00825CB6"/>
    <w:rsid w:val="00825D0C"/>
    <w:rsid w:val="0082604F"/>
    <w:rsid w:val="00827B56"/>
    <w:rsid w:val="00827CBB"/>
    <w:rsid w:val="00830588"/>
    <w:rsid w:val="00830ADF"/>
    <w:rsid w:val="00830EF8"/>
    <w:rsid w:val="0083142D"/>
    <w:rsid w:val="008323CC"/>
    <w:rsid w:val="00832E25"/>
    <w:rsid w:val="00833E1B"/>
    <w:rsid w:val="00834083"/>
    <w:rsid w:val="00834BA3"/>
    <w:rsid w:val="00834E53"/>
    <w:rsid w:val="00834F28"/>
    <w:rsid w:val="00835158"/>
    <w:rsid w:val="008357E3"/>
    <w:rsid w:val="0083584F"/>
    <w:rsid w:val="00835B9E"/>
    <w:rsid w:val="0083602B"/>
    <w:rsid w:val="00836A13"/>
    <w:rsid w:val="00836C43"/>
    <w:rsid w:val="008410F0"/>
    <w:rsid w:val="00841AC7"/>
    <w:rsid w:val="00841E1A"/>
    <w:rsid w:val="00841F56"/>
    <w:rsid w:val="008429A2"/>
    <w:rsid w:val="008430DD"/>
    <w:rsid w:val="00844436"/>
    <w:rsid w:val="00844885"/>
    <w:rsid w:val="00844F84"/>
    <w:rsid w:val="008471B2"/>
    <w:rsid w:val="00847328"/>
    <w:rsid w:val="00847F2A"/>
    <w:rsid w:val="00850229"/>
    <w:rsid w:val="00850565"/>
    <w:rsid w:val="008513A4"/>
    <w:rsid w:val="008519EB"/>
    <w:rsid w:val="00852236"/>
    <w:rsid w:val="0085233A"/>
    <w:rsid w:val="0085233E"/>
    <w:rsid w:val="008524EE"/>
    <w:rsid w:val="00852AB0"/>
    <w:rsid w:val="00853B63"/>
    <w:rsid w:val="00855F54"/>
    <w:rsid w:val="00857200"/>
    <w:rsid w:val="008576B9"/>
    <w:rsid w:val="00861E91"/>
    <w:rsid w:val="00862611"/>
    <w:rsid w:val="00862E6E"/>
    <w:rsid w:val="00864928"/>
    <w:rsid w:val="00864C75"/>
    <w:rsid w:val="00866881"/>
    <w:rsid w:val="00866F3C"/>
    <w:rsid w:val="008672BD"/>
    <w:rsid w:val="00867CE7"/>
    <w:rsid w:val="008712D0"/>
    <w:rsid w:val="00872F3B"/>
    <w:rsid w:val="008748FA"/>
    <w:rsid w:val="008756C2"/>
    <w:rsid w:val="008765D0"/>
    <w:rsid w:val="00876FBD"/>
    <w:rsid w:val="008773F4"/>
    <w:rsid w:val="00881652"/>
    <w:rsid w:val="00881876"/>
    <w:rsid w:val="00881B59"/>
    <w:rsid w:val="00881ED9"/>
    <w:rsid w:val="00882D51"/>
    <w:rsid w:val="00883D34"/>
    <w:rsid w:val="00885663"/>
    <w:rsid w:val="008866C3"/>
    <w:rsid w:val="00886F6A"/>
    <w:rsid w:val="00887586"/>
    <w:rsid w:val="00887FC9"/>
    <w:rsid w:val="008903C6"/>
    <w:rsid w:val="00890F25"/>
    <w:rsid w:val="00892634"/>
    <w:rsid w:val="00893CB5"/>
    <w:rsid w:val="00893CF1"/>
    <w:rsid w:val="00894133"/>
    <w:rsid w:val="00895D6F"/>
    <w:rsid w:val="00895F89"/>
    <w:rsid w:val="00896ECB"/>
    <w:rsid w:val="008972C5"/>
    <w:rsid w:val="008979B3"/>
    <w:rsid w:val="008A0525"/>
    <w:rsid w:val="008A0F0E"/>
    <w:rsid w:val="008A1515"/>
    <w:rsid w:val="008A184A"/>
    <w:rsid w:val="008A1FC7"/>
    <w:rsid w:val="008A21BE"/>
    <w:rsid w:val="008A227D"/>
    <w:rsid w:val="008A2CCF"/>
    <w:rsid w:val="008A2D0A"/>
    <w:rsid w:val="008A3778"/>
    <w:rsid w:val="008A3E80"/>
    <w:rsid w:val="008A3F5E"/>
    <w:rsid w:val="008A5288"/>
    <w:rsid w:val="008A5ECA"/>
    <w:rsid w:val="008A764A"/>
    <w:rsid w:val="008A7A47"/>
    <w:rsid w:val="008A7E08"/>
    <w:rsid w:val="008B02CB"/>
    <w:rsid w:val="008B0ABA"/>
    <w:rsid w:val="008B0C2E"/>
    <w:rsid w:val="008B1D34"/>
    <w:rsid w:val="008B1F1D"/>
    <w:rsid w:val="008B255F"/>
    <w:rsid w:val="008B268B"/>
    <w:rsid w:val="008B2A6C"/>
    <w:rsid w:val="008B35FC"/>
    <w:rsid w:val="008B3C79"/>
    <w:rsid w:val="008B45F3"/>
    <w:rsid w:val="008B4EA0"/>
    <w:rsid w:val="008B56B8"/>
    <w:rsid w:val="008B763D"/>
    <w:rsid w:val="008C1B0D"/>
    <w:rsid w:val="008C2307"/>
    <w:rsid w:val="008C26E7"/>
    <w:rsid w:val="008C404B"/>
    <w:rsid w:val="008C54DE"/>
    <w:rsid w:val="008C61D2"/>
    <w:rsid w:val="008C68AC"/>
    <w:rsid w:val="008C6B1A"/>
    <w:rsid w:val="008C6D18"/>
    <w:rsid w:val="008C6E53"/>
    <w:rsid w:val="008C7F1C"/>
    <w:rsid w:val="008D0472"/>
    <w:rsid w:val="008D38C6"/>
    <w:rsid w:val="008D3CC9"/>
    <w:rsid w:val="008D3DFD"/>
    <w:rsid w:val="008D58CF"/>
    <w:rsid w:val="008D59A7"/>
    <w:rsid w:val="008D65C6"/>
    <w:rsid w:val="008E03E0"/>
    <w:rsid w:val="008E1331"/>
    <w:rsid w:val="008E1697"/>
    <w:rsid w:val="008E1B78"/>
    <w:rsid w:val="008E2F1B"/>
    <w:rsid w:val="008E3038"/>
    <w:rsid w:val="008E38A9"/>
    <w:rsid w:val="008E38CC"/>
    <w:rsid w:val="008E4575"/>
    <w:rsid w:val="008E55EA"/>
    <w:rsid w:val="008E5A71"/>
    <w:rsid w:val="008E740D"/>
    <w:rsid w:val="008E7A24"/>
    <w:rsid w:val="008E7C00"/>
    <w:rsid w:val="008F0077"/>
    <w:rsid w:val="008F0D5A"/>
    <w:rsid w:val="008F0F5B"/>
    <w:rsid w:val="008F1332"/>
    <w:rsid w:val="008F1768"/>
    <w:rsid w:val="008F2BDA"/>
    <w:rsid w:val="008F3204"/>
    <w:rsid w:val="008F351D"/>
    <w:rsid w:val="008F371F"/>
    <w:rsid w:val="008F3B28"/>
    <w:rsid w:val="008F3D7B"/>
    <w:rsid w:val="008F422C"/>
    <w:rsid w:val="008F4888"/>
    <w:rsid w:val="008F5B55"/>
    <w:rsid w:val="008F6150"/>
    <w:rsid w:val="008F6265"/>
    <w:rsid w:val="008F64AC"/>
    <w:rsid w:val="008F6E32"/>
    <w:rsid w:val="008F7EA0"/>
    <w:rsid w:val="008F7EFB"/>
    <w:rsid w:val="009003CA"/>
    <w:rsid w:val="00900E53"/>
    <w:rsid w:val="00901049"/>
    <w:rsid w:val="00901168"/>
    <w:rsid w:val="009022AD"/>
    <w:rsid w:val="00902771"/>
    <w:rsid w:val="0090380A"/>
    <w:rsid w:val="00903822"/>
    <w:rsid w:val="00903DE6"/>
    <w:rsid w:val="00904A99"/>
    <w:rsid w:val="00904EDE"/>
    <w:rsid w:val="00905D74"/>
    <w:rsid w:val="00910535"/>
    <w:rsid w:val="00911A5A"/>
    <w:rsid w:val="00911EE4"/>
    <w:rsid w:val="009122E4"/>
    <w:rsid w:val="0091262B"/>
    <w:rsid w:val="009128A8"/>
    <w:rsid w:val="00912E12"/>
    <w:rsid w:val="00912EE5"/>
    <w:rsid w:val="00914B20"/>
    <w:rsid w:val="009156D6"/>
    <w:rsid w:val="009158E1"/>
    <w:rsid w:val="0091687A"/>
    <w:rsid w:val="00916E2F"/>
    <w:rsid w:val="00917360"/>
    <w:rsid w:val="009173B5"/>
    <w:rsid w:val="00920133"/>
    <w:rsid w:val="00920789"/>
    <w:rsid w:val="00920F7B"/>
    <w:rsid w:val="00921449"/>
    <w:rsid w:val="009214BE"/>
    <w:rsid w:val="00922908"/>
    <w:rsid w:val="009237B2"/>
    <w:rsid w:val="00924174"/>
    <w:rsid w:val="00924E17"/>
    <w:rsid w:val="009252A7"/>
    <w:rsid w:val="00925646"/>
    <w:rsid w:val="009262FC"/>
    <w:rsid w:val="00926924"/>
    <w:rsid w:val="00930100"/>
    <w:rsid w:val="0093020E"/>
    <w:rsid w:val="00931411"/>
    <w:rsid w:val="00931EAB"/>
    <w:rsid w:val="009320D6"/>
    <w:rsid w:val="009322C6"/>
    <w:rsid w:val="0093264D"/>
    <w:rsid w:val="00932AF1"/>
    <w:rsid w:val="00932D96"/>
    <w:rsid w:val="00933203"/>
    <w:rsid w:val="00933AB5"/>
    <w:rsid w:val="00933FDF"/>
    <w:rsid w:val="00934917"/>
    <w:rsid w:val="009349BB"/>
    <w:rsid w:val="00934AD1"/>
    <w:rsid w:val="00934B2A"/>
    <w:rsid w:val="00935E62"/>
    <w:rsid w:val="00941CEA"/>
    <w:rsid w:val="009426F3"/>
    <w:rsid w:val="009431BF"/>
    <w:rsid w:val="0094414A"/>
    <w:rsid w:val="00944419"/>
    <w:rsid w:val="0094569F"/>
    <w:rsid w:val="00945A3B"/>
    <w:rsid w:val="009463E9"/>
    <w:rsid w:val="00946AD7"/>
    <w:rsid w:val="00946EED"/>
    <w:rsid w:val="00947FB8"/>
    <w:rsid w:val="00950F13"/>
    <w:rsid w:val="009524B7"/>
    <w:rsid w:val="0095325E"/>
    <w:rsid w:val="009532B4"/>
    <w:rsid w:val="009565EC"/>
    <w:rsid w:val="00957232"/>
    <w:rsid w:val="00960A83"/>
    <w:rsid w:val="00961690"/>
    <w:rsid w:val="009618D0"/>
    <w:rsid w:val="00962861"/>
    <w:rsid w:val="00963C05"/>
    <w:rsid w:val="00964092"/>
    <w:rsid w:val="00965386"/>
    <w:rsid w:val="00965BF4"/>
    <w:rsid w:val="009661D9"/>
    <w:rsid w:val="009662E9"/>
    <w:rsid w:val="00966A75"/>
    <w:rsid w:val="0096772A"/>
    <w:rsid w:val="00971BB6"/>
    <w:rsid w:val="00971BD6"/>
    <w:rsid w:val="00972D09"/>
    <w:rsid w:val="00974005"/>
    <w:rsid w:val="009746F0"/>
    <w:rsid w:val="00974A63"/>
    <w:rsid w:val="00974FEF"/>
    <w:rsid w:val="00976058"/>
    <w:rsid w:val="009772F6"/>
    <w:rsid w:val="0098114D"/>
    <w:rsid w:val="00982577"/>
    <w:rsid w:val="0098388F"/>
    <w:rsid w:val="00985BE4"/>
    <w:rsid w:val="00987011"/>
    <w:rsid w:val="00987476"/>
    <w:rsid w:val="00987D4F"/>
    <w:rsid w:val="00990BEF"/>
    <w:rsid w:val="009915A0"/>
    <w:rsid w:val="00993B05"/>
    <w:rsid w:val="00994748"/>
    <w:rsid w:val="00994EF5"/>
    <w:rsid w:val="00996B1C"/>
    <w:rsid w:val="0099716D"/>
    <w:rsid w:val="00997488"/>
    <w:rsid w:val="00997B0B"/>
    <w:rsid w:val="009A05D6"/>
    <w:rsid w:val="009A0983"/>
    <w:rsid w:val="009A1487"/>
    <w:rsid w:val="009A1519"/>
    <w:rsid w:val="009A1A6B"/>
    <w:rsid w:val="009A2C0B"/>
    <w:rsid w:val="009A33CC"/>
    <w:rsid w:val="009A4C59"/>
    <w:rsid w:val="009A5557"/>
    <w:rsid w:val="009A5568"/>
    <w:rsid w:val="009A5A56"/>
    <w:rsid w:val="009A6394"/>
    <w:rsid w:val="009A6B73"/>
    <w:rsid w:val="009A77EA"/>
    <w:rsid w:val="009A7E7C"/>
    <w:rsid w:val="009B03BE"/>
    <w:rsid w:val="009B2DF3"/>
    <w:rsid w:val="009B4075"/>
    <w:rsid w:val="009B45E3"/>
    <w:rsid w:val="009B4E5B"/>
    <w:rsid w:val="009B5174"/>
    <w:rsid w:val="009B54B6"/>
    <w:rsid w:val="009B5CD6"/>
    <w:rsid w:val="009B6DA6"/>
    <w:rsid w:val="009C038D"/>
    <w:rsid w:val="009C2F4D"/>
    <w:rsid w:val="009C3757"/>
    <w:rsid w:val="009C3F50"/>
    <w:rsid w:val="009C49EF"/>
    <w:rsid w:val="009C5D59"/>
    <w:rsid w:val="009C67CD"/>
    <w:rsid w:val="009C69BF"/>
    <w:rsid w:val="009D0684"/>
    <w:rsid w:val="009D0B90"/>
    <w:rsid w:val="009D20B0"/>
    <w:rsid w:val="009D226F"/>
    <w:rsid w:val="009D24CD"/>
    <w:rsid w:val="009D2E84"/>
    <w:rsid w:val="009D2E86"/>
    <w:rsid w:val="009D2F27"/>
    <w:rsid w:val="009D319E"/>
    <w:rsid w:val="009D38EC"/>
    <w:rsid w:val="009D45CA"/>
    <w:rsid w:val="009D4BF8"/>
    <w:rsid w:val="009D4D40"/>
    <w:rsid w:val="009D5238"/>
    <w:rsid w:val="009D52E6"/>
    <w:rsid w:val="009D5451"/>
    <w:rsid w:val="009D5737"/>
    <w:rsid w:val="009D6056"/>
    <w:rsid w:val="009D72A8"/>
    <w:rsid w:val="009D73FF"/>
    <w:rsid w:val="009D7AD3"/>
    <w:rsid w:val="009E11F9"/>
    <w:rsid w:val="009E1272"/>
    <w:rsid w:val="009E1308"/>
    <w:rsid w:val="009E21B9"/>
    <w:rsid w:val="009E2FB6"/>
    <w:rsid w:val="009E32DF"/>
    <w:rsid w:val="009E3763"/>
    <w:rsid w:val="009E387B"/>
    <w:rsid w:val="009E44E5"/>
    <w:rsid w:val="009E465C"/>
    <w:rsid w:val="009E5407"/>
    <w:rsid w:val="009E5482"/>
    <w:rsid w:val="009E5A7D"/>
    <w:rsid w:val="009E630F"/>
    <w:rsid w:val="009F1139"/>
    <w:rsid w:val="009F1E0A"/>
    <w:rsid w:val="009F2D14"/>
    <w:rsid w:val="009F3083"/>
    <w:rsid w:val="009F4326"/>
    <w:rsid w:val="009F480D"/>
    <w:rsid w:val="009F493E"/>
    <w:rsid w:val="009F5835"/>
    <w:rsid w:val="009F5BAD"/>
    <w:rsid w:val="009F6D8A"/>
    <w:rsid w:val="009F7833"/>
    <w:rsid w:val="00A00396"/>
    <w:rsid w:val="00A00E92"/>
    <w:rsid w:val="00A01599"/>
    <w:rsid w:val="00A01942"/>
    <w:rsid w:val="00A02A76"/>
    <w:rsid w:val="00A02DC4"/>
    <w:rsid w:val="00A03851"/>
    <w:rsid w:val="00A039D5"/>
    <w:rsid w:val="00A04BA0"/>
    <w:rsid w:val="00A0527D"/>
    <w:rsid w:val="00A063D4"/>
    <w:rsid w:val="00A0721D"/>
    <w:rsid w:val="00A10313"/>
    <w:rsid w:val="00A10B0D"/>
    <w:rsid w:val="00A10B30"/>
    <w:rsid w:val="00A11757"/>
    <w:rsid w:val="00A11B78"/>
    <w:rsid w:val="00A13036"/>
    <w:rsid w:val="00A1311B"/>
    <w:rsid w:val="00A1367A"/>
    <w:rsid w:val="00A14247"/>
    <w:rsid w:val="00A14AE9"/>
    <w:rsid w:val="00A1529F"/>
    <w:rsid w:val="00A15380"/>
    <w:rsid w:val="00A167F8"/>
    <w:rsid w:val="00A16B6B"/>
    <w:rsid w:val="00A173F7"/>
    <w:rsid w:val="00A174D8"/>
    <w:rsid w:val="00A1754D"/>
    <w:rsid w:val="00A17666"/>
    <w:rsid w:val="00A203D5"/>
    <w:rsid w:val="00A2062D"/>
    <w:rsid w:val="00A21345"/>
    <w:rsid w:val="00A2253C"/>
    <w:rsid w:val="00A22600"/>
    <w:rsid w:val="00A23E1C"/>
    <w:rsid w:val="00A247E2"/>
    <w:rsid w:val="00A24C7E"/>
    <w:rsid w:val="00A25E4F"/>
    <w:rsid w:val="00A25FE8"/>
    <w:rsid w:val="00A271EA"/>
    <w:rsid w:val="00A27223"/>
    <w:rsid w:val="00A300AB"/>
    <w:rsid w:val="00A3067E"/>
    <w:rsid w:val="00A307EF"/>
    <w:rsid w:val="00A3205D"/>
    <w:rsid w:val="00A321D2"/>
    <w:rsid w:val="00A32774"/>
    <w:rsid w:val="00A32925"/>
    <w:rsid w:val="00A334C5"/>
    <w:rsid w:val="00A345DE"/>
    <w:rsid w:val="00A34D4D"/>
    <w:rsid w:val="00A35048"/>
    <w:rsid w:val="00A35063"/>
    <w:rsid w:val="00A35749"/>
    <w:rsid w:val="00A35D09"/>
    <w:rsid w:val="00A3634F"/>
    <w:rsid w:val="00A37583"/>
    <w:rsid w:val="00A377AB"/>
    <w:rsid w:val="00A37FA7"/>
    <w:rsid w:val="00A4039B"/>
    <w:rsid w:val="00A407EB"/>
    <w:rsid w:val="00A4099F"/>
    <w:rsid w:val="00A41193"/>
    <w:rsid w:val="00A4176D"/>
    <w:rsid w:val="00A42171"/>
    <w:rsid w:val="00A4286F"/>
    <w:rsid w:val="00A438ED"/>
    <w:rsid w:val="00A448CE"/>
    <w:rsid w:val="00A46114"/>
    <w:rsid w:val="00A46C0F"/>
    <w:rsid w:val="00A46F0A"/>
    <w:rsid w:val="00A470FD"/>
    <w:rsid w:val="00A51ED7"/>
    <w:rsid w:val="00A5262B"/>
    <w:rsid w:val="00A526E2"/>
    <w:rsid w:val="00A52EF1"/>
    <w:rsid w:val="00A53391"/>
    <w:rsid w:val="00A53F06"/>
    <w:rsid w:val="00A55739"/>
    <w:rsid w:val="00A568A2"/>
    <w:rsid w:val="00A56D17"/>
    <w:rsid w:val="00A56FE8"/>
    <w:rsid w:val="00A56FFC"/>
    <w:rsid w:val="00A57583"/>
    <w:rsid w:val="00A57B3A"/>
    <w:rsid w:val="00A60312"/>
    <w:rsid w:val="00A60D0A"/>
    <w:rsid w:val="00A61861"/>
    <w:rsid w:val="00A6269A"/>
    <w:rsid w:val="00A63661"/>
    <w:rsid w:val="00A647F9"/>
    <w:rsid w:val="00A64AB3"/>
    <w:rsid w:val="00A64CAB"/>
    <w:rsid w:val="00A64F47"/>
    <w:rsid w:val="00A655E9"/>
    <w:rsid w:val="00A65A67"/>
    <w:rsid w:val="00A66051"/>
    <w:rsid w:val="00A66554"/>
    <w:rsid w:val="00A67063"/>
    <w:rsid w:val="00A70841"/>
    <w:rsid w:val="00A70ACF"/>
    <w:rsid w:val="00A7177C"/>
    <w:rsid w:val="00A72232"/>
    <w:rsid w:val="00A73CC5"/>
    <w:rsid w:val="00A74B0B"/>
    <w:rsid w:val="00A755D1"/>
    <w:rsid w:val="00A75838"/>
    <w:rsid w:val="00A77724"/>
    <w:rsid w:val="00A777B6"/>
    <w:rsid w:val="00A7781D"/>
    <w:rsid w:val="00A77E2C"/>
    <w:rsid w:val="00A81275"/>
    <w:rsid w:val="00A812EC"/>
    <w:rsid w:val="00A823BD"/>
    <w:rsid w:val="00A824D0"/>
    <w:rsid w:val="00A826DB"/>
    <w:rsid w:val="00A83355"/>
    <w:rsid w:val="00A84122"/>
    <w:rsid w:val="00A845A5"/>
    <w:rsid w:val="00A846F3"/>
    <w:rsid w:val="00A873C6"/>
    <w:rsid w:val="00A906AD"/>
    <w:rsid w:val="00A90951"/>
    <w:rsid w:val="00A914E3"/>
    <w:rsid w:val="00A915D3"/>
    <w:rsid w:val="00A92244"/>
    <w:rsid w:val="00A92907"/>
    <w:rsid w:val="00A929CD"/>
    <w:rsid w:val="00A933C0"/>
    <w:rsid w:val="00A933F7"/>
    <w:rsid w:val="00A93C4C"/>
    <w:rsid w:val="00A9443F"/>
    <w:rsid w:val="00A94AE9"/>
    <w:rsid w:val="00A959B8"/>
    <w:rsid w:val="00A95D25"/>
    <w:rsid w:val="00A96299"/>
    <w:rsid w:val="00A96613"/>
    <w:rsid w:val="00A96FA7"/>
    <w:rsid w:val="00A97224"/>
    <w:rsid w:val="00A9781C"/>
    <w:rsid w:val="00AA038C"/>
    <w:rsid w:val="00AA1AED"/>
    <w:rsid w:val="00AA2175"/>
    <w:rsid w:val="00AA22BF"/>
    <w:rsid w:val="00AA22D7"/>
    <w:rsid w:val="00AA3447"/>
    <w:rsid w:val="00AA3E2E"/>
    <w:rsid w:val="00AA4088"/>
    <w:rsid w:val="00AA4EFC"/>
    <w:rsid w:val="00AA5181"/>
    <w:rsid w:val="00AA67A0"/>
    <w:rsid w:val="00AA6908"/>
    <w:rsid w:val="00AA776D"/>
    <w:rsid w:val="00AB0DDE"/>
    <w:rsid w:val="00AB0F0D"/>
    <w:rsid w:val="00AB1562"/>
    <w:rsid w:val="00AB2584"/>
    <w:rsid w:val="00AB3032"/>
    <w:rsid w:val="00AB3C8B"/>
    <w:rsid w:val="00AB539E"/>
    <w:rsid w:val="00AB6BFE"/>
    <w:rsid w:val="00AB7326"/>
    <w:rsid w:val="00AC005E"/>
    <w:rsid w:val="00AC0416"/>
    <w:rsid w:val="00AC0A86"/>
    <w:rsid w:val="00AC1047"/>
    <w:rsid w:val="00AC17CF"/>
    <w:rsid w:val="00AC1A67"/>
    <w:rsid w:val="00AC1F10"/>
    <w:rsid w:val="00AC234A"/>
    <w:rsid w:val="00AC3C9F"/>
    <w:rsid w:val="00AC581F"/>
    <w:rsid w:val="00AC5FCC"/>
    <w:rsid w:val="00AC677A"/>
    <w:rsid w:val="00AC6B19"/>
    <w:rsid w:val="00AC7CDE"/>
    <w:rsid w:val="00AD0995"/>
    <w:rsid w:val="00AD10BC"/>
    <w:rsid w:val="00AD147D"/>
    <w:rsid w:val="00AD2C78"/>
    <w:rsid w:val="00AD31C4"/>
    <w:rsid w:val="00AD3A2E"/>
    <w:rsid w:val="00AD3C54"/>
    <w:rsid w:val="00AD4087"/>
    <w:rsid w:val="00AD571E"/>
    <w:rsid w:val="00AD58D0"/>
    <w:rsid w:val="00AE06CA"/>
    <w:rsid w:val="00AE0EC9"/>
    <w:rsid w:val="00AE16A2"/>
    <w:rsid w:val="00AE1863"/>
    <w:rsid w:val="00AE20B3"/>
    <w:rsid w:val="00AE3777"/>
    <w:rsid w:val="00AE4603"/>
    <w:rsid w:val="00AE47A5"/>
    <w:rsid w:val="00AE5DBF"/>
    <w:rsid w:val="00AE6637"/>
    <w:rsid w:val="00AE69CE"/>
    <w:rsid w:val="00AE78F7"/>
    <w:rsid w:val="00AF1482"/>
    <w:rsid w:val="00AF14EC"/>
    <w:rsid w:val="00AF1B3F"/>
    <w:rsid w:val="00AF4623"/>
    <w:rsid w:val="00AF559E"/>
    <w:rsid w:val="00AF5AF6"/>
    <w:rsid w:val="00AF62CF"/>
    <w:rsid w:val="00AF63E7"/>
    <w:rsid w:val="00AF684C"/>
    <w:rsid w:val="00AF6FB6"/>
    <w:rsid w:val="00B013A4"/>
    <w:rsid w:val="00B0257B"/>
    <w:rsid w:val="00B0318D"/>
    <w:rsid w:val="00B03D84"/>
    <w:rsid w:val="00B03EA5"/>
    <w:rsid w:val="00B04DB6"/>
    <w:rsid w:val="00B05FAF"/>
    <w:rsid w:val="00B06507"/>
    <w:rsid w:val="00B06F04"/>
    <w:rsid w:val="00B0723E"/>
    <w:rsid w:val="00B109A3"/>
    <w:rsid w:val="00B116F1"/>
    <w:rsid w:val="00B11C80"/>
    <w:rsid w:val="00B12084"/>
    <w:rsid w:val="00B134AF"/>
    <w:rsid w:val="00B13F14"/>
    <w:rsid w:val="00B15547"/>
    <w:rsid w:val="00B155B1"/>
    <w:rsid w:val="00B20A38"/>
    <w:rsid w:val="00B20DE1"/>
    <w:rsid w:val="00B20E76"/>
    <w:rsid w:val="00B2171A"/>
    <w:rsid w:val="00B21B79"/>
    <w:rsid w:val="00B21C46"/>
    <w:rsid w:val="00B225B3"/>
    <w:rsid w:val="00B23878"/>
    <w:rsid w:val="00B24989"/>
    <w:rsid w:val="00B2507F"/>
    <w:rsid w:val="00B253CE"/>
    <w:rsid w:val="00B2626F"/>
    <w:rsid w:val="00B2765C"/>
    <w:rsid w:val="00B27B39"/>
    <w:rsid w:val="00B27E86"/>
    <w:rsid w:val="00B31722"/>
    <w:rsid w:val="00B318CF"/>
    <w:rsid w:val="00B319F9"/>
    <w:rsid w:val="00B325F3"/>
    <w:rsid w:val="00B329AE"/>
    <w:rsid w:val="00B330F2"/>
    <w:rsid w:val="00B33C83"/>
    <w:rsid w:val="00B358D9"/>
    <w:rsid w:val="00B36065"/>
    <w:rsid w:val="00B36D59"/>
    <w:rsid w:val="00B36F27"/>
    <w:rsid w:val="00B37279"/>
    <w:rsid w:val="00B37C56"/>
    <w:rsid w:val="00B406FB"/>
    <w:rsid w:val="00B4116E"/>
    <w:rsid w:val="00B4164E"/>
    <w:rsid w:val="00B42163"/>
    <w:rsid w:val="00B42170"/>
    <w:rsid w:val="00B425DB"/>
    <w:rsid w:val="00B4338E"/>
    <w:rsid w:val="00B434E7"/>
    <w:rsid w:val="00B43760"/>
    <w:rsid w:val="00B447A7"/>
    <w:rsid w:val="00B44A3E"/>
    <w:rsid w:val="00B44D5A"/>
    <w:rsid w:val="00B455BC"/>
    <w:rsid w:val="00B457F9"/>
    <w:rsid w:val="00B46AAD"/>
    <w:rsid w:val="00B4731C"/>
    <w:rsid w:val="00B47C74"/>
    <w:rsid w:val="00B50A0A"/>
    <w:rsid w:val="00B53ABB"/>
    <w:rsid w:val="00B56C1E"/>
    <w:rsid w:val="00B57BDF"/>
    <w:rsid w:val="00B57FD1"/>
    <w:rsid w:val="00B60665"/>
    <w:rsid w:val="00B606EE"/>
    <w:rsid w:val="00B6090B"/>
    <w:rsid w:val="00B60F6A"/>
    <w:rsid w:val="00B61924"/>
    <w:rsid w:val="00B6272A"/>
    <w:rsid w:val="00B629B5"/>
    <w:rsid w:val="00B629CF"/>
    <w:rsid w:val="00B62D43"/>
    <w:rsid w:val="00B62E9A"/>
    <w:rsid w:val="00B63991"/>
    <w:rsid w:val="00B63C88"/>
    <w:rsid w:val="00B64848"/>
    <w:rsid w:val="00B66BFA"/>
    <w:rsid w:val="00B67734"/>
    <w:rsid w:val="00B7106B"/>
    <w:rsid w:val="00B71289"/>
    <w:rsid w:val="00B71B9A"/>
    <w:rsid w:val="00B71C95"/>
    <w:rsid w:val="00B72BF3"/>
    <w:rsid w:val="00B72E1E"/>
    <w:rsid w:val="00B738F9"/>
    <w:rsid w:val="00B7501F"/>
    <w:rsid w:val="00B75167"/>
    <w:rsid w:val="00B77040"/>
    <w:rsid w:val="00B773C2"/>
    <w:rsid w:val="00B775E3"/>
    <w:rsid w:val="00B8016F"/>
    <w:rsid w:val="00B801FC"/>
    <w:rsid w:val="00B81BC6"/>
    <w:rsid w:val="00B81C6A"/>
    <w:rsid w:val="00B81FAF"/>
    <w:rsid w:val="00B81FBB"/>
    <w:rsid w:val="00B82CEE"/>
    <w:rsid w:val="00B82DBD"/>
    <w:rsid w:val="00B831DA"/>
    <w:rsid w:val="00B840A2"/>
    <w:rsid w:val="00B85D21"/>
    <w:rsid w:val="00B85FE0"/>
    <w:rsid w:val="00B86A8C"/>
    <w:rsid w:val="00B86D48"/>
    <w:rsid w:val="00B900C4"/>
    <w:rsid w:val="00B90DE9"/>
    <w:rsid w:val="00B9188E"/>
    <w:rsid w:val="00B91914"/>
    <w:rsid w:val="00B9364E"/>
    <w:rsid w:val="00B936EE"/>
    <w:rsid w:val="00B946EB"/>
    <w:rsid w:val="00B948E2"/>
    <w:rsid w:val="00B94FBC"/>
    <w:rsid w:val="00B95811"/>
    <w:rsid w:val="00B95D2B"/>
    <w:rsid w:val="00B97844"/>
    <w:rsid w:val="00BA01EF"/>
    <w:rsid w:val="00BA0EC9"/>
    <w:rsid w:val="00BA14F7"/>
    <w:rsid w:val="00BA1750"/>
    <w:rsid w:val="00BA1B19"/>
    <w:rsid w:val="00BA1BCE"/>
    <w:rsid w:val="00BA28DA"/>
    <w:rsid w:val="00BA340B"/>
    <w:rsid w:val="00BA3424"/>
    <w:rsid w:val="00BA3591"/>
    <w:rsid w:val="00BA3621"/>
    <w:rsid w:val="00BA53D0"/>
    <w:rsid w:val="00BA562C"/>
    <w:rsid w:val="00BA65A5"/>
    <w:rsid w:val="00BA6938"/>
    <w:rsid w:val="00BA6E70"/>
    <w:rsid w:val="00BA753B"/>
    <w:rsid w:val="00BA7665"/>
    <w:rsid w:val="00BA770F"/>
    <w:rsid w:val="00BA7AC3"/>
    <w:rsid w:val="00BB0924"/>
    <w:rsid w:val="00BB0962"/>
    <w:rsid w:val="00BB0B45"/>
    <w:rsid w:val="00BB121C"/>
    <w:rsid w:val="00BB1D80"/>
    <w:rsid w:val="00BB28D0"/>
    <w:rsid w:val="00BB2FD0"/>
    <w:rsid w:val="00BB37AD"/>
    <w:rsid w:val="00BB3AFF"/>
    <w:rsid w:val="00BB44BB"/>
    <w:rsid w:val="00BB550D"/>
    <w:rsid w:val="00BB5B00"/>
    <w:rsid w:val="00BB674A"/>
    <w:rsid w:val="00BB6EBD"/>
    <w:rsid w:val="00BB7402"/>
    <w:rsid w:val="00BB7AD6"/>
    <w:rsid w:val="00BC03AA"/>
    <w:rsid w:val="00BC1C38"/>
    <w:rsid w:val="00BC1F04"/>
    <w:rsid w:val="00BC405D"/>
    <w:rsid w:val="00BC506E"/>
    <w:rsid w:val="00BC53F4"/>
    <w:rsid w:val="00BC57C4"/>
    <w:rsid w:val="00BC6D32"/>
    <w:rsid w:val="00BC7269"/>
    <w:rsid w:val="00BD0C6B"/>
    <w:rsid w:val="00BD1D14"/>
    <w:rsid w:val="00BD40B0"/>
    <w:rsid w:val="00BD4CC1"/>
    <w:rsid w:val="00BD511A"/>
    <w:rsid w:val="00BD5823"/>
    <w:rsid w:val="00BD71B8"/>
    <w:rsid w:val="00BE0449"/>
    <w:rsid w:val="00BE04AF"/>
    <w:rsid w:val="00BE0E5B"/>
    <w:rsid w:val="00BE229F"/>
    <w:rsid w:val="00BE31EA"/>
    <w:rsid w:val="00BE33D3"/>
    <w:rsid w:val="00BE3743"/>
    <w:rsid w:val="00BE3C3F"/>
    <w:rsid w:val="00BE3EA6"/>
    <w:rsid w:val="00BE5208"/>
    <w:rsid w:val="00BE550E"/>
    <w:rsid w:val="00BE5AAF"/>
    <w:rsid w:val="00BE5DF1"/>
    <w:rsid w:val="00BE612D"/>
    <w:rsid w:val="00BE6277"/>
    <w:rsid w:val="00BE683F"/>
    <w:rsid w:val="00BE6ED8"/>
    <w:rsid w:val="00BE71D7"/>
    <w:rsid w:val="00BE7439"/>
    <w:rsid w:val="00BE7E67"/>
    <w:rsid w:val="00BF0AFA"/>
    <w:rsid w:val="00BF0EE4"/>
    <w:rsid w:val="00BF10BE"/>
    <w:rsid w:val="00BF1B14"/>
    <w:rsid w:val="00BF2A64"/>
    <w:rsid w:val="00BF3D7B"/>
    <w:rsid w:val="00BF3EA2"/>
    <w:rsid w:val="00BF4993"/>
    <w:rsid w:val="00BF4BC0"/>
    <w:rsid w:val="00BF5CFF"/>
    <w:rsid w:val="00BF6618"/>
    <w:rsid w:val="00BF6C80"/>
    <w:rsid w:val="00BF75A1"/>
    <w:rsid w:val="00C00A2B"/>
    <w:rsid w:val="00C01F2B"/>
    <w:rsid w:val="00C02AE1"/>
    <w:rsid w:val="00C037D6"/>
    <w:rsid w:val="00C041B0"/>
    <w:rsid w:val="00C043D6"/>
    <w:rsid w:val="00C05037"/>
    <w:rsid w:val="00C06BBD"/>
    <w:rsid w:val="00C06F97"/>
    <w:rsid w:val="00C07D04"/>
    <w:rsid w:val="00C10271"/>
    <w:rsid w:val="00C10D1F"/>
    <w:rsid w:val="00C10E17"/>
    <w:rsid w:val="00C11653"/>
    <w:rsid w:val="00C12416"/>
    <w:rsid w:val="00C12490"/>
    <w:rsid w:val="00C13158"/>
    <w:rsid w:val="00C13EC7"/>
    <w:rsid w:val="00C14766"/>
    <w:rsid w:val="00C14BFF"/>
    <w:rsid w:val="00C1781C"/>
    <w:rsid w:val="00C201BE"/>
    <w:rsid w:val="00C21848"/>
    <w:rsid w:val="00C21F3E"/>
    <w:rsid w:val="00C22ED3"/>
    <w:rsid w:val="00C3112D"/>
    <w:rsid w:val="00C316E5"/>
    <w:rsid w:val="00C318D8"/>
    <w:rsid w:val="00C31EF8"/>
    <w:rsid w:val="00C3200D"/>
    <w:rsid w:val="00C32D84"/>
    <w:rsid w:val="00C3340B"/>
    <w:rsid w:val="00C33844"/>
    <w:rsid w:val="00C33DC1"/>
    <w:rsid w:val="00C34F93"/>
    <w:rsid w:val="00C361D5"/>
    <w:rsid w:val="00C365CA"/>
    <w:rsid w:val="00C371E1"/>
    <w:rsid w:val="00C375DA"/>
    <w:rsid w:val="00C41009"/>
    <w:rsid w:val="00C414DD"/>
    <w:rsid w:val="00C4302B"/>
    <w:rsid w:val="00C434E7"/>
    <w:rsid w:val="00C435F1"/>
    <w:rsid w:val="00C438B0"/>
    <w:rsid w:val="00C43C84"/>
    <w:rsid w:val="00C444EF"/>
    <w:rsid w:val="00C44514"/>
    <w:rsid w:val="00C445DF"/>
    <w:rsid w:val="00C5096B"/>
    <w:rsid w:val="00C51445"/>
    <w:rsid w:val="00C51DDB"/>
    <w:rsid w:val="00C51EBB"/>
    <w:rsid w:val="00C52075"/>
    <w:rsid w:val="00C53F7E"/>
    <w:rsid w:val="00C5410C"/>
    <w:rsid w:val="00C55910"/>
    <w:rsid w:val="00C5705F"/>
    <w:rsid w:val="00C573DF"/>
    <w:rsid w:val="00C57879"/>
    <w:rsid w:val="00C57932"/>
    <w:rsid w:val="00C57FA0"/>
    <w:rsid w:val="00C6050D"/>
    <w:rsid w:val="00C60D16"/>
    <w:rsid w:val="00C615C7"/>
    <w:rsid w:val="00C64C43"/>
    <w:rsid w:val="00C64D4B"/>
    <w:rsid w:val="00C6710C"/>
    <w:rsid w:val="00C71355"/>
    <w:rsid w:val="00C764DE"/>
    <w:rsid w:val="00C76B02"/>
    <w:rsid w:val="00C76B7A"/>
    <w:rsid w:val="00C80413"/>
    <w:rsid w:val="00C805C5"/>
    <w:rsid w:val="00C80722"/>
    <w:rsid w:val="00C8078C"/>
    <w:rsid w:val="00C8226A"/>
    <w:rsid w:val="00C823D5"/>
    <w:rsid w:val="00C863BA"/>
    <w:rsid w:val="00C86445"/>
    <w:rsid w:val="00C86DE3"/>
    <w:rsid w:val="00C86F75"/>
    <w:rsid w:val="00C875EA"/>
    <w:rsid w:val="00C87982"/>
    <w:rsid w:val="00C91C33"/>
    <w:rsid w:val="00C91D0A"/>
    <w:rsid w:val="00C93B68"/>
    <w:rsid w:val="00C95CAB"/>
    <w:rsid w:val="00C97089"/>
    <w:rsid w:val="00C97351"/>
    <w:rsid w:val="00C97881"/>
    <w:rsid w:val="00C978DB"/>
    <w:rsid w:val="00CA05BC"/>
    <w:rsid w:val="00CA1026"/>
    <w:rsid w:val="00CA1340"/>
    <w:rsid w:val="00CA191B"/>
    <w:rsid w:val="00CA27BD"/>
    <w:rsid w:val="00CA294A"/>
    <w:rsid w:val="00CA30C7"/>
    <w:rsid w:val="00CA3333"/>
    <w:rsid w:val="00CA642E"/>
    <w:rsid w:val="00CA6B56"/>
    <w:rsid w:val="00CA6E5C"/>
    <w:rsid w:val="00CB0F72"/>
    <w:rsid w:val="00CB13EF"/>
    <w:rsid w:val="00CB1634"/>
    <w:rsid w:val="00CB324B"/>
    <w:rsid w:val="00CB3378"/>
    <w:rsid w:val="00CB4585"/>
    <w:rsid w:val="00CB5726"/>
    <w:rsid w:val="00CB6C0B"/>
    <w:rsid w:val="00CB70CC"/>
    <w:rsid w:val="00CB7222"/>
    <w:rsid w:val="00CB746A"/>
    <w:rsid w:val="00CB7D4F"/>
    <w:rsid w:val="00CC0B26"/>
    <w:rsid w:val="00CC10EF"/>
    <w:rsid w:val="00CC43CA"/>
    <w:rsid w:val="00CC53C7"/>
    <w:rsid w:val="00CC5F08"/>
    <w:rsid w:val="00CC7213"/>
    <w:rsid w:val="00CC7539"/>
    <w:rsid w:val="00CC77BC"/>
    <w:rsid w:val="00CD0097"/>
    <w:rsid w:val="00CD0282"/>
    <w:rsid w:val="00CD046A"/>
    <w:rsid w:val="00CD0B41"/>
    <w:rsid w:val="00CD1932"/>
    <w:rsid w:val="00CD2920"/>
    <w:rsid w:val="00CD331B"/>
    <w:rsid w:val="00CD3504"/>
    <w:rsid w:val="00CD4579"/>
    <w:rsid w:val="00CD479F"/>
    <w:rsid w:val="00CD5149"/>
    <w:rsid w:val="00CD541E"/>
    <w:rsid w:val="00CD5BBB"/>
    <w:rsid w:val="00CD5EBF"/>
    <w:rsid w:val="00CD71E0"/>
    <w:rsid w:val="00CE0FFC"/>
    <w:rsid w:val="00CE1EDA"/>
    <w:rsid w:val="00CE2A0B"/>
    <w:rsid w:val="00CE2C63"/>
    <w:rsid w:val="00CE34CD"/>
    <w:rsid w:val="00CE4CFD"/>
    <w:rsid w:val="00CE6E88"/>
    <w:rsid w:val="00CE74C9"/>
    <w:rsid w:val="00CE7DC5"/>
    <w:rsid w:val="00CF01B6"/>
    <w:rsid w:val="00CF12CE"/>
    <w:rsid w:val="00CF2BE3"/>
    <w:rsid w:val="00CF3647"/>
    <w:rsid w:val="00CF39D4"/>
    <w:rsid w:val="00CF3F85"/>
    <w:rsid w:val="00CF51AC"/>
    <w:rsid w:val="00CF6487"/>
    <w:rsid w:val="00CF6B44"/>
    <w:rsid w:val="00CF6DBC"/>
    <w:rsid w:val="00CF6EB5"/>
    <w:rsid w:val="00CF6F24"/>
    <w:rsid w:val="00CF7815"/>
    <w:rsid w:val="00CF79B7"/>
    <w:rsid w:val="00CF7CEF"/>
    <w:rsid w:val="00CF7D2C"/>
    <w:rsid w:val="00CF7E1B"/>
    <w:rsid w:val="00D0031E"/>
    <w:rsid w:val="00D0033B"/>
    <w:rsid w:val="00D00A21"/>
    <w:rsid w:val="00D01652"/>
    <w:rsid w:val="00D03379"/>
    <w:rsid w:val="00D04C4D"/>
    <w:rsid w:val="00D04E20"/>
    <w:rsid w:val="00D04F1A"/>
    <w:rsid w:val="00D05C14"/>
    <w:rsid w:val="00D06010"/>
    <w:rsid w:val="00D0619F"/>
    <w:rsid w:val="00D06D87"/>
    <w:rsid w:val="00D06D9E"/>
    <w:rsid w:val="00D0777C"/>
    <w:rsid w:val="00D07841"/>
    <w:rsid w:val="00D11495"/>
    <w:rsid w:val="00D12630"/>
    <w:rsid w:val="00D12B8A"/>
    <w:rsid w:val="00D12D08"/>
    <w:rsid w:val="00D1315E"/>
    <w:rsid w:val="00D1366F"/>
    <w:rsid w:val="00D13B91"/>
    <w:rsid w:val="00D13F48"/>
    <w:rsid w:val="00D147DC"/>
    <w:rsid w:val="00D14F69"/>
    <w:rsid w:val="00D154ED"/>
    <w:rsid w:val="00D167C7"/>
    <w:rsid w:val="00D16931"/>
    <w:rsid w:val="00D1705D"/>
    <w:rsid w:val="00D1713C"/>
    <w:rsid w:val="00D20C71"/>
    <w:rsid w:val="00D22225"/>
    <w:rsid w:val="00D22E1A"/>
    <w:rsid w:val="00D244E0"/>
    <w:rsid w:val="00D24E77"/>
    <w:rsid w:val="00D26036"/>
    <w:rsid w:val="00D27897"/>
    <w:rsid w:val="00D27B90"/>
    <w:rsid w:val="00D27C7D"/>
    <w:rsid w:val="00D27D3A"/>
    <w:rsid w:val="00D324F3"/>
    <w:rsid w:val="00D32754"/>
    <w:rsid w:val="00D327BD"/>
    <w:rsid w:val="00D32DFF"/>
    <w:rsid w:val="00D3358C"/>
    <w:rsid w:val="00D33BF5"/>
    <w:rsid w:val="00D33D26"/>
    <w:rsid w:val="00D3453F"/>
    <w:rsid w:val="00D34DCA"/>
    <w:rsid w:val="00D3625D"/>
    <w:rsid w:val="00D3671E"/>
    <w:rsid w:val="00D40D5C"/>
    <w:rsid w:val="00D41376"/>
    <w:rsid w:val="00D41877"/>
    <w:rsid w:val="00D418B6"/>
    <w:rsid w:val="00D42BF4"/>
    <w:rsid w:val="00D42F90"/>
    <w:rsid w:val="00D43E9A"/>
    <w:rsid w:val="00D441FA"/>
    <w:rsid w:val="00D4420A"/>
    <w:rsid w:val="00D447D5"/>
    <w:rsid w:val="00D44E87"/>
    <w:rsid w:val="00D455FC"/>
    <w:rsid w:val="00D45A24"/>
    <w:rsid w:val="00D4659A"/>
    <w:rsid w:val="00D474B3"/>
    <w:rsid w:val="00D476C6"/>
    <w:rsid w:val="00D5017F"/>
    <w:rsid w:val="00D5060C"/>
    <w:rsid w:val="00D517D4"/>
    <w:rsid w:val="00D51CCB"/>
    <w:rsid w:val="00D5263D"/>
    <w:rsid w:val="00D52A24"/>
    <w:rsid w:val="00D53C0F"/>
    <w:rsid w:val="00D5470D"/>
    <w:rsid w:val="00D5478C"/>
    <w:rsid w:val="00D55193"/>
    <w:rsid w:val="00D55831"/>
    <w:rsid w:val="00D562B5"/>
    <w:rsid w:val="00D5656F"/>
    <w:rsid w:val="00D5711F"/>
    <w:rsid w:val="00D5762E"/>
    <w:rsid w:val="00D5783D"/>
    <w:rsid w:val="00D579E3"/>
    <w:rsid w:val="00D57CBF"/>
    <w:rsid w:val="00D60812"/>
    <w:rsid w:val="00D60CDC"/>
    <w:rsid w:val="00D6134F"/>
    <w:rsid w:val="00D62ED1"/>
    <w:rsid w:val="00D63759"/>
    <w:rsid w:val="00D64269"/>
    <w:rsid w:val="00D66877"/>
    <w:rsid w:val="00D66AE7"/>
    <w:rsid w:val="00D670A0"/>
    <w:rsid w:val="00D70A57"/>
    <w:rsid w:val="00D70D7F"/>
    <w:rsid w:val="00D720DF"/>
    <w:rsid w:val="00D7263D"/>
    <w:rsid w:val="00D72F05"/>
    <w:rsid w:val="00D73526"/>
    <w:rsid w:val="00D73F28"/>
    <w:rsid w:val="00D74DF4"/>
    <w:rsid w:val="00D756AA"/>
    <w:rsid w:val="00D761A7"/>
    <w:rsid w:val="00D761D8"/>
    <w:rsid w:val="00D7751E"/>
    <w:rsid w:val="00D77AC6"/>
    <w:rsid w:val="00D8098B"/>
    <w:rsid w:val="00D809FC"/>
    <w:rsid w:val="00D80D7E"/>
    <w:rsid w:val="00D826B8"/>
    <w:rsid w:val="00D8280F"/>
    <w:rsid w:val="00D82DEA"/>
    <w:rsid w:val="00D83EED"/>
    <w:rsid w:val="00D84A4E"/>
    <w:rsid w:val="00D857B8"/>
    <w:rsid w:val="00D8694D"/>
    <w:rsid w:val="00D86B56"/>
    <w:rsid w:val="00D87105"/>
    <w:rsid w:val="00D87683"/>
    <w:rsid w:val="00D87A51"/>
    <w:rsid w:val="00D906F7"/>
    <w:rsid w:val="00D90F53"/>
    <w:rsid w:val="00D91893"/>
    <w:rsid w:val="00D9245F"/>
    <w:rsid w:val="00D93089"/>
    <w:rsid w:val="00D9439F"/>
    <w:rsid w:val="00D95688"/>
    <w:rsid w:val="00D96524"/>
    <w:rsid w:val="00D9652D"/>
    <w:rsid w:val="00D9658F"/>
    <w:rsid w:val="00D96843"/>
    <w:rsid w:val="00DA0421"/>
    <w:rsid w:val="00DA04EE"/>
    <w:rsid w:val="00DA15F0"/>
    <w:rsid w:val="00DA1C8E"/>
    <w:rsid w:val="00DA2161"/>
    <w:rsid w:val="00DA31F4"/>
    <w:rsid w:val="00DA3610"/>
    <w:rsid w:val="00DA4019"/>
    <w:rsid w:val="00DA43DB"/>
    <w:rsid w:val="00DA45A7"/>
    <w:rsid w:val="00DA4770"/>
    <w:rsid w:val="00DA5FAE"/>
    <w:rsid w:val="00DB06F3"/>
    <w:rsid w:val="00DB1236"/>
    <w:rsid w:val="00DB1BEB"/>
    <w:rsid w:val="00DB2D74"/>
    <w:rsid w:val="00DB3543"/>
    <w:rsid w:val="00DB3C67"/>
    <w:rsid w:val="00DB713F"/>
    <w:rsid w:val="00DB7355"/>
    <w:rsid w:val="00DB7492"/>
    <w:rsid w:val="00DC04B5"/>
    <w:rsid w:val="00DC245A"/>
    <w:rsid w:val="00DC292E"/>
    <w:rsid w:val="00DC2ABA"/>
    <w:rsid w:val="00DC2EA2"/>
    <w:rsid w:val="00DC319B"/>
    <w:rsid w:val="00DC3BBA"/>
    <w:rsid w:val="00DC4362"/>
    <w:rsid w:val="00DC4A05"/>
    <w:rsid w:val="00DC51FE"/>
    <w:rsid w:val="00DC5FF7"/>
    <w:rsid w:val="00DC6309"/>
    <w:rsid w:val="00DC6557"/>
    <w:rsid w:val="00DC656D"/>
    <w:rsid w:val="00DC7067"/>
    <w:rsid w:val="00DC7B3A"/>
    <w:rsid w:val="00DD0306"/>
    <w:rsid w:val="00DD26B9"/>
    <w:rsid w:val="00DD2A57"/>
    <w:rsid w:val="00DD2EDB"/>
    <w:rsid w:val="00DD3A05"/>
    <w:rsid w:val="00DD3B15"/>
    <w:rsid w:val="00DD434C"/>
    <w:rsid w:val="00DD45C7"/>
    <w:rsid w:val="00DD5027"/>
    <w:rsid w:val="00DD5234"/>
    <w:rsid w:val="00DD5B2C"/>
    <w:rsid w:val="00DD7C29"/>
    <w:rsid w:val="00DE09CA"/>
    <w:rsid w:val="00DE17F9"/>
    <w:rsid w:val="00DE1984"/>
    <w:rsid w:val="00DE22ED"/>
    <w:rsid w:val="00DE3572"/>
    <w:rsid w:val="00DE4B08"/>
    <w:rsid w:val="00DE4DE2"/>
    <w:rsid w:val="00DE5FEA"/>
    <w:rsid w:val="00DE686D"/>
    <w:rsid w:val="00DE687B"/>
    <w:rsid w:val="00DE7429"/>
    <w:rsid w:val="00DE7474"/>
    <w:rsid w:val="00DF0C02"/>
    <w:rsid w:val="00DF2CD3"/>
    <w:rsid w:val="00DF3102"/>
    <w:rsid w:val="00DF31CE"/>
    <w:rsid w:val="00DF38F8"/>
    <w:rsid w:val="00DF3F87"/>
    <w:rsid w:val="00DF4475"/>
    <w:rsid w:val="00DF4C32"/>
    <w:rsid w:val="00DF6478"/>
    <w:rsid w:val="00DF7B6F"/>
    <w:rsid w:val="00DF7B85"/>
    <w:rsid w:val="00E00303"/>
    <w:rsid w:val="00E01299"/>
    <w:rsid w:val="00E022DE"/>
    <w:rsid w:val="00E02F24"/>
    <w:rsid w:val="00E03F5E"/>
    <w:rsid w:val="00E04EB7"/>
    <w:rsid w:val="00E054C6"/>
    <w:rsid w:val="00E0583C"/>
    <w:rsid w:val="00E066FA"/>
    <w:rsid w:val="00E06B47"/>
    <w:rsid w:val="00E0761B"/>
    <w:rsid w:val="00E07CE9"/>
    <w:rsid w:val="00E103B8"/>
    <w:rsid w:val="00E10B0D"/>
    <w:rsid w:val="00E119BF"/>
    <w:rsid w:val="00E124E6"/>
    <w:rsid w:val="00E14A78"/>
    <w:rsid w:val="00E14C10"/>
    <w:rsid w:val="00E15827"/>
    <w:rsid w:val="00E15EF7"/>
    <w:rsid w:val="00E164A1"/>
    <w:rsid w:val="00E168A5"/>
    <w:rsid w:val="00E16F3E"/>
    <w:rsid w:val="00E20AB9"/>
    <w:rsid w:val="00E214E3"/>
    <w:rsid w:val="00E21876"/>
    <w:rsid w:val="00E226C0"/>
    <w:rsid w:val="00E238B9"/>
    <w:rsid w:val="00E242CF"/>
    <w:rsid w:val="00E25882"/>
    <w:rsid w:val="00E2595E"/>
    <w:rsid w:val="00E2623B"/>
    <w:rsid w:val="00E262FE"/>
    <w:rsid w:val="00E26788"/>
    <w:rsid w:val="00E26D48"/>
    <w:rsid w:val="00E27076"/>
    <w:rsid w:val="00E272C4"/>
    <w:rsid w:val="00E273F6"/>
    <w:rsid w:val="00E30B72"/>
    <w:rsid w:val="00E30C0C"/>
    <w:rsid w:val="00E31AFD"/>
    <w:rsid w:val="00E32CE1"/>
    <w:rsid w:val="00E333E6"/>
    <w:rsid w:val="00E34A6D"/>
    <w:rsid w:val="00E377D6"/>
    <w:rsid w:val="00E418B7"/>
    <w:rsid w:val="00E41CDD"/>
    <w:rsid w:val="00E429B3"/>
    <w:rsid w:val="00E42BA2"/>
    <w:rsid w:val="00E43004"/>
    <w:rsid w:val="00E44713"/>
    <w:rsid w:val="00E44D27"/>
    <w:rsid w:val="00E45BF7"/>
    <w:rsid w:val="00E45EF7"/>
    <w:rsid w:val="00E466E0"/>
    <w:rsid w:val="00E47999"/>
    <w:rsid w:val="00E50196"/>
    <w:rsid w:val="00E50260"/>
    <w:rsid w:val="00E51474"/>
    <w:rsid w:val="00E519F8"/>
    <w:rsid w:val="00E51DF4"/>
    <w:rsid w:val="00E52F0D"/>
    <w:rsid w:val="00E53C4A"/>
    <w:rsid w:val="00E53D31"/>
    <w:rsid w:val="00E5433E"/>
    <w:rsid w:val="00E5603D"/>
    <w:rsid w:val="00E56090"/>
    <w:rsid w:val="00E560D6"/>
    <w:rsid w:val="00E568F4"/>
    <w:rsid w:val="00E56DCB"/>
    <w:rsid w:val="00E579A5"/>
    <w:rsid w:val="00E60123"/>
    <w:rsid w:val="00E602BC"/>
    <w:rsid w:val="00E60856"/>
    <w:rsid w:val="00E60C30"/>
    <w:rsid w:val="00E611C6"/>
    <w:rsid w:val="00E61B6B"/>
    <w:rsid w:val="00E62A27"/>
    <w:rsid w:val="00E6398E"/>
    <w:rsid w:val="00E64897"/>
    <w:rsid w:val="00E64FA1"/>
    <w:rsid w:val="00E659DB"/>
    <w:rsid w:val="00E6615A"/>
    <w:rsid w:val="00E67486"/>
    <w:rsid w:val="00E679EE"/>
    <w:rsid w:val="00E70060"/>
    <w:rsid w:val="00E705F3"/>
    <w:rsid w:val="00E70A8E"/>
    <w:rsid w:val="00E716CB"/>
    <w:rsid w:val="00E71FA7"/>
    <w:rsid w:val="00E729DA"/>
    <w:rsid w:val="00E7307E"/>
    <w:rsid w:val="00E7371E"/>
    <w:rsid w:val="00E73EB5"/>
    <w:rsid w:val="00E75D54"/>
    <w:rsid w:val="00E75F26"/>
    <w:rsid w:val="00E7650E"/>
    <w:rsid w:val="00E7764C"/>
    <w:rsid w:val="00E77CEA"/>
    <w:rsid w:val="00E80046"/>
    <w:rsid w:val="00E807F3"/>
    <w:rsid w:val="00E818A3"/>
    <w:rsid w:val="00E821AA"/>
    <w:rsid w:val="00E82827"/>
    <w:rsid w:val="00E8293B"/>
    <w:rsid w:val="00E83078"/>
    <w:rsid w:val="00E830A5"/>
    <w:rsid w:val="00E83640"/>
    <w:rsid w:val="00E8368C"/>
    <w:rsid w:val="00E83FB8"/>
    <w:rsid w:val="00E85F46"/>
    <w:rsid w:val="00E87008"/>
    <w:rsid w:val="00E871F9"/>
    <w:rsid w:val="00E8731D"/>
    <w:rsid w:val="00E918D5"/>
    <w:rsid w:val="00E931E7"/>
    <w:rsid w:val="00E9377B"/>
    <w:rsid w:val="00E94289"/>
    <w:rsid w:val="00E95BCD"/>
    <w:rsid w:val="00E968AE"/>
    <w:rsid w:val="00EA049A"/>
    <w:rsid w:val="00EA0F57"/>
    <w:rsid w:val="00EA1714"/>
    <w:rsid w:val="00EA1B7D"/>
    <w:rsid w:val="00EA1E01"/>
    <w:rsid w:val="00EA1EFC"/>
    <w:rsid w:val="00EA20DF"/>
    <w:rsid w:val="00EA237C"/>
    <w:rsid w:val="00EA260C"/>
    <w:rsid w:val="00EA29A1"/>
    <w:rsid w:val="00EA2AF1"/>
    <w:rsid w:val="00EA2FEC"/>
    <w:rsid w:val="00EA3392"/>
    <w:rsid w:val="00EA3411"/>
    <w:rsid w:val="00EA4444"/>
    <w:rsid w:val="00EA473A"/>
    <w:rsid w:val="00EA47DC"/>
    <w:rsid w:val="00EA4F1F"/>
    <w:rsid w:val="00EA6337"/>
    <w:rsid w:val="00EA6DC1"/>
    <w:rsid w:val="00EA74C6"/>
    <w:rsid w:val="00EB039E"/>
    <w:rsid w:val="00EB09F2"/>
    <w:rsid w:val="00EB0A8B"/>
    <w:rsid w:val="00EB0AFF"/>
    <w:rsid w:val="00EB1609"/>
    <w:rsid w:val="00EB2913"/>
    <w:rsid w:val="00EB32B4"/>
    <w:rsid w:val="00EB4ADF"/>
    <w:rsid w:val="00EB4B30"/>
    <w:rsid w:val="00EB4F42"/>
    <w:rsid w:val="00EB4F9B"/>
    <w:rsid w:val="00EB5B36"/>
    <w:rsid w:val="00EB5C9E"/>
    <w:rsid w:val="00EB5EED"/>
    <w:rsid w:val="00EB651B"/>
    <w:rsid w:val="00EB6C5B"/>
    <w:rsid w:val="00EB7360"/>
    <w:rsid w:val="00EB7D10"/>
    <w:rsid w:val="00EC16DB"/>
    <w:rsid w:val="00EC1E02"/>
    <w:rsid w:val="00EC2598"/>
    <w:rsid w:val="00EC2C32"/>
    <w:rsid w:val="00EC4523"/>
    <w:rsid w:val="00EC4818"/>
    <w:rsid w:val="00EC547A"/>
    <w:rsid w:val="00EC58E5"/>
    <w:rsid w:val="00EC5BF0"/>
    <w:rsid w:val="00EC62DD"/>
    <w:rsid w:val="00EC6BBD"/>
    <w:rsid w:val="00EC710F"/>
    <w:rsid w:val="00EC78E3"/>
    <w:rsid w:val="00ED0BBD"/>
    <w:rsid w:val="00ED1A53"/>
    <w:rsid w:val="00ED2608"/>
    <w:rsid w:val="00ED3033"/>
    <w:rsid w:val="00ED3945"/>
    <w:rsid w:val="00ED3C3E"/>
    <w:rsid w:val="00ED43F9"/>
    <w:rsid w:val="00ED4EDE"/>
    <w:rsid w:val="00ED61A7"/>
    <w:rsid w:val="00ED6271"/>
    <w:rsid w:val="00ED6F97"/>
    <w:rsid w:val="00ED723B"/>
    <w:rsid w:val="00EE058F"/>
    <w:rsid w:val="00EE061B"/>
    <w:rsid w:val="00EE0863"/>
    <w:rsid w:val="00EE119D"/>
    <w:rsid w:val="00EE14EA"/>
    <w:rsid w:val="00EE1F87"/>
    <w:rsid w:val="00EE2175"/>
    <w:rsid w:val="00EE264A"/>
    <w:rsid w:val="00EE2B6D"/>
    <w:rsid w:val="00EE5A78"/>
    <w:rsid w:val="00EE665E"/>
    <w:rsid w:val="00EE6B14"/>
    <w:rsid w:val="00EE6F99"/>
    <w:rsid w:val="00EE7600"/>
    <w:rsid w:val="00EE761A"/>
    <w:rsid w:val="00EE76BE"/>
    <w:rsid w:val="00EE7740"/>
    <w:rsid w:val="00EE7876"/>
    <w:rsid w:val="00EF01E2"/>
    <w:rsid w:val="00EF0AF1"/>
    <w:rsid w:val="00EF267F"/>
    <w:rsid w:val="00EF3EDF"/>
    <w:rsid w:val="00EF42DC"/>
    <w:rsid w:val="00EF4735"/>
    <w:rsid w:val="00EF4C3B"/>
    <w:rsid w:val="00EF5AE8"/>
    <w:rsid w:val="00EF6096"/>
    <w:rsid w:val="00EF6988"/>
    <w:rsid w:val="00EF69B3"/>
    <w:rsid w:val="00EF69F8"/>
    <w:rsid w:val="00EF717B"/>
    <w:rsid w:val="00EF73F8"/>
    <w:rsid w:val="00EF750F"/>
    <w:rsid w:val="00EF787E"/>
    <w:rsid w:val="00EF7F90"/>
    <w:rsid w:val="00F01854"/>
    <w:rsid w:val="00F01883"/>
    <w:rsid w:val="00F02763"/>
    <w:rsid w:val="00F02942"/>
    <w:rsid w:val="00F02FEA"/>
    <w:rsid w:val="00F03E38"/>
    <w:rsid w:val="00F03EC5"/>
    <w:rsid w:val="00F04BB8"/>
    <w:rsid w:val="00F05589"/>
    <w:rsid w:val="00F05C9E"/>
    <w:rsid w:val="00F05FA0"/>
    <w:rsid w:val="00F06266"/>
    <w:rsid w:val="00F06B34"/>
    <w:rsid w:val="00F0718C"/>
    <w:rsid w:val="00F10801"/>
    <w:rsid w:val="00F1109D"/>
    <w:rsid w:val="00F1192F"/>
    <w:rsid w:val="00F12730"/>
    <w:rsid w:val="00F13642"/>
    <w:rsid w:val="00F14579"/>
    <w:rsid w:val="00F15D20"/>
    <w:rsid w:val="00F16A46"/>
    <w:rsid w:val="00F17065"/>
    <w:rsid w:val="00F17EEF"/>
    <w:rsid w:val="00F2067E"/>
    <w:rsid w:val="00F20B3A"/>
    <w:rsid w:val="00F21189"/>
    <w:rsid w:val="00F23269"/>
    <w:rsid w:val="00F233FB"/>
    <w:rsid w:val="00F23982"/>
    <w:rsid w:val="00F2563B"/>
    <w:rsid w:val="00F25E07"/>
    <w:rsid w:val="00F27860"/>
    <w:rsid w:val="00F3025D"/>
    <w:rsid w:val="00F30563"/>
    <w:rsid w:val="00F31480"/>
    <w:rsid w:val="00F318DD"/>
    <w:rsid w:val="00F31E79"/>
    <w:rsid w:val="00F33046"/>
    <w:rsid w:val="00F35FAD"/>
    <w:rsid w:val="00F36603"/>
    <w:rsid w:val="00F367CA"/>
    <w:rsid w:val="00F36E03"/>
    <w:rsid w:val="00F37343"/>
    <w:rsid w:val="00F3765C"/>
    <w:rsid w:val="00F37DFD"/>
    <w:rsid w:val="00F37F61"/>
    <w:rsid w:val="00F403BE"/>
    <w:rsid w:val="00F40519"/>
    <w:rsid w:val="00F416EC"/>
    <w:rsid w:val="00F419E3"/>
    <w:rsid w:val="00F41FEF"/>
    <w:rsid w:val="00F42379"/>
    <w:rsid w:val="00F42C99"/>
    <w:rsid w:val="00F4323B"/>
    <w:rsid w:val="00F44119"/>
    <w:rsid w:val="00F4480D"/>
    <w:rsid w:val="00F44A93"/>
    <w:rsid w:val="00F44D71"/>
    <w:rsid w:val="00F45A05"/>
    <w:rsid w:val="00F46392"/>
    <w:rsid w:val="00F47094"/>
    <w:rsid w:val="00F50223"/>
    <w:rsid w:val="00F50E31"/>
    <w:rsid w:val="00F51DDB"/>
    <w:rsid w:val="00F5270F"/>
    <w:rsid w:val="00F536F9"/>
    <w:rsid w:val="00F53A15"/>
    <w:rsid w:val="00F53CCC"/>
    <w:rsid w:val="00F5405A"/>
    <w:rsid w:val="00F54454"/>
    <w:rsid w:val="00F548F0"/>
    <w:rsid w:val="00F54FF7"/>
    <w:rsid w:val="00F55CD3"/>
    <w:rsid w:val="00F57A84"/>
    <w:rsid w:val="00F60713"/>
    <w:rsid w:val="00F60EFD"/>
    <w:rsid w:val="00F61079"/>
    <w:rsid w:val="00F627E5"/>
    <w:rsid w:val="00F62874"/>
    <w:rsid w:val="00F62BC2"/>
    <w:rsid w:val="00F6394E"/>
    <w:rsid w:val="00F64689"/>
    <w:rsid w:val="00F649FE"/>
    <w:rsid w:val="00F66116"/>
    <w:rsid w:val="00F6617A"/>
    <w:rsid w:val="00F66C5F"/>
    <w:rsid w:val="00F67068"/>
    <w:rsid w:val="00F673E4"/>
    <w:rsid w:val="00F725B1"/>
    <w:rsid w:val="00F72752"/>
    <w:rsid w:val="00F729E7"/>
    <w:rsid w:val="00F72C68"/>
    <w:rsid w:val="00F73CF2"/>
    <w:rsid w:val="00F74295"/>
    <w:rsid w:val="00F74769"/>
    <w:rsid w:val="00F75523"/>
    <w:rsid w:val="00F766CC"/>
    <w:rsid w:val="00F8008B"/>
    <w:rsid w:val="00F80CC5"/>
    <w:rsid w:val="00F816A8"/>
    <w:rsid w:val="00F81ACD"/>
    <w:rsid w:val="00F8237E"/>
    <w:rsid w:val="00F825F0"/>
    <w:rsid w:val="00F82CD4"/>
    <w:rsid w:val="00F838DD"/>
    <w:rsid w:val="00F84635"/>
    <w:rsid w:val="00F8497A"/>
    <w:rsid w:val="00F84D4C"/>
    <w:rsid w:val="00F84E83"/>
    <w:rsid w:val="00F856D0"/>
    <w:rsid w:val="00F85E65"/>
    <w:rsid w:val="00F86355"/>
    <w:rsid w:val="00F865A4"/>
    <w:rsid w:val="00F86BF8"/>
    <w:rsid w:val="00F86E4E"/>
    <w:rsid w:val="00F87F8B"/>
    <w:rsid w:val="00F90352"/>
    <w:rsid w:val="00F90CE9"/>
    <w:rsid w:val="00F91065"/>
    <w:rsid w:val="00F92CE5"/>
    <w:rsid w:val="00F95A8C"/>
    <w:rsid w:val="00F96623"/>
    <w:rsid w:val="00F96C9F"/>
    <w:rsid w:val="00F97214"/>
    <w:rsid w:val="00F9726F"/>
    <w:rsid w:val="00F97ABA"/>
    <w:rsid w:val="00FA0076"/>
    <w:rsid w:val="00FA35E5"/>
    <w:rsid w:val="00FA3976"/>
    <w:rsid w:val="00FA42F2"/>
    <w:rsid w:val="00FA6C27"/>
    <w:rsid w:val="00FA6F7C"/>
    <w:rsid w:val="00FA7088"/>
    <w:rsid w:val="00FB044E"/>
    <w:rsid w:val="00FB0901"/>
    <w:rsid w:val="00FB1167"/>
    <w:rsid w:val="00FB1277"/>
    <w:rsid w:val="00FB23A0"/>
    <w:rsid w:val="00FB241C"/>
    <w:rsid w:val="00FB26F8"/>
    <w:rsid w:val="00FB28F2"/>
    <w:rsid w:val="00FB2BF3"/>
    <w:rsid w:val="00FB3DFD"/>
    <w:rsid w:val="00FB417A"/>
    <w:rsid w:val="00FB437F"/>
    <w:rsid w:val="00FB4627"/>
    <w:rsid w:val="00FB5909"/>
    <w:rsid w:val="00FB5FD1"/>
    <w:rsid w:val="00FB6F30"/>
    <w:rsid w:val="00FB70A1"/>
    <w:rsid w:val="00FB724E"/>
    <w:rsid w:val="00FB7C3E"/>
    <w:rsid w:val="00FB7FCC"/>
    <w:rsid w:val="00FC0DD5"/>
    <w:rsid w:val="00FC11DD"/>
    <w:rsid w:val="00FC205D"/>
    <w:rsid w:val="00FC2338"/>
    <w:rsid w:val="00FC2D34"/>
    <w:rsid w:val="00FC3B53"/>
    <w:rsid w:val="00FC3B9C"/>
    <w:rsid w:val="00FC3FD6"/>
    <w:rsid w:val="00FC44BA"/>
    <w:rsid w:val="00FC48F3"/>
    <w:rsid w:val="00FC5268"/>
    <w:rsid w:val="00FC5D8E"/>
    <w:rsid w:val="00FC5DE6"/>
    <w:rsid w:val="00FC6334"/>
    <w:rsid w:val="00FC6442"/>
    <w:rsid w:val="00FC6E8F"/>
    <w:rsid w:val="00FC7E80"/>
    <w:rsid w:val="00FC7F24"/>
    <w:rsid w:val="00FD008C"/>
    <w:rsid w:val="00FD0173"/>
    <w:rsid w:val="00FD029D"/>
    <w:rsid w:val="00FD03CC"/>
    <w:rsid w:val="00FD0BEF"/>
    <w:rsid w:val="00FD185A"/>
    <w:rsid w:val="00FD227B"/>
    <w:rsid w:val="00FD30A7"/>
    <w:rsid w:val="00FD378F"/>
    <w:rsid w:val="00FD3A6D"/>
    <w:rsid w:val="00FD47E5"/>
    <w:rsid w:val="00FD4A4B"/>
    <w:rsid w:val="00FD6AA0"/>
    <w:rsid w:val="00FD759E"/>
    <w:rsid w:val="00FD7F6A"/>
    <w:rsid w:val="00FE2745"/>
    <w:rsid w:val="00FE2FE4"/>
    <w:rsid w:val="00FE3593"/>
    <w:rsid w:val="00FE4007"/>
    <w:rsid w:val="00FE6F11"/>
    <w:rsid w:val="00FE7F34"/>
    <w:rsid w:val="00FF0964"/>
    <w:rsid w:val="00FF0C87"/>
    <w:rsid w:val="00FF19D7"/>
    <w:rsid w:val="00FF2839"/>
    <w:rsid w:val="00FF2946"/>
    <w:rsid w:val="00FF370E"/>
    <w:rsid w:val="00FF3A75"/>
    <w:rsid w:val="00FF3AD4"/>
    <w:rsid w:val="00FF520E"/>
    <w:rsid w:val="00FF52B1"/>
    <w:rsid w:val="00FF5F3B"/>
    <w:rsid w:val="00FF64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76D"/>
  </w:style>
  <w:style w:type="paragraph" w:styleId="1">
    <w:name w:val="heading 1"/>
    <w:basedOn w:val="a"/>
    <w:link w:val="10"/>
    <w:uiPriority w:val="9"/>
    <w:qFormat/>
    <w:rsid w:val="00EF75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750F"/>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EF750F"/>
  </w:style>
  <w:style w:type="character" w:styleId="a3">
    <w:name w:val="Hyperlink"/>
    <w:basedOn w:val="a0"/>
    <w:uiPriority w:val="99"/>
    <w:semiHidden/>
    <w:unhideWhenUsed/>
    <w:rsid w:val="00EF750F"/>
    <w:rPr>
      <w:color w:val="0000FF"/>
      <w:u w:val="single"/>
    </w:rPr>
  </w:style>
  <w:style w:type="paragraph" w:styleId="a4">
    <w:name w:val="Normal (Web)"/>
    <w:basedOn w:val="a"/>
    <w:uiPriority w:val="99"/>
    <w:semiHidden/>
    <w:unhideWhenUsed/>
    <w:rsid w:val="00EF750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44125989">
      <w:bodyDiv w:val="1"/>
      <w:marLeft w:val="0"/>
      <w:marRight w:val="0"/>
      <w:marTop w:val="0"/>
      <w:marBottom w:val="0"/>
      <w:divBdr>
        <w:top w:val="none" w:sz="0" w:space="0" w:color="auto"/>
        <w:left w:val="none" w:sz="0" w:space="0" w:color="auto"/>
        <w:bottom w:val="none" w:sz="0" w:space="0" w:color="auto"/>
        <w:right w:val="none" w:sz="0" w:space="0" w:color="auto"/>
      </w:divBdr>
      <w:divsChild>
        <w:div w:id="1531458925">
          <w:marLeft w:val="0"/>
          <w:marRight w:val="0"/>
          <w:marTop w:val="0"/>
          <w:marBottom w:val="0"/>
          <w:divBdr>
            <w:top w:val="none" w:sz="0" w:space="0" w:color="auto"/>
            <w:left w:val="none" w:sz="0" w:space="0" w:color="auto"/>
            <w:bottom w:val="none" w:sz="0" w:space="0" w:color="auto"/>
            <w:right w:val="none" w:sz="0" w:space="0" w:color="auto"/>
          </w:divBdr>
        </w:div>
        <w:div w:id="923539506">
          <w:marLeft w:val="0"/>
          <w:marRight w:val="0"/>
          <w:marTop w:val="0"/>
          <w:marBottom w:val="0"/>
          <w:divBdr>
            <w:top w:val="none" w:sz="0" w:space="0" w:color="auto"/>
            <w:left w:val="none" w:sz="0" w:space="0" w:color="auto"/>
            <w:bottom w:val="none" w:sz="0" w:space="0" w:color="auto"/>
            <w:right w:val="none" w:sz="0" w:space="0" w:color="auto"/>
          </w:divBdr>
        </w:div>
        <w:div w:id="1196845324">
          <w:marLeft w:val="0"/>
          <w:marRight w:val="0"/>
          <w:marTop w:val="0"/>
          <w:marBottom w:val="0"/>
          <w:divBdr>
            <w:top w:val="none" w:sz="0" w:space="0" w:color="auto"/>
            <w:left w:val="none" w:sz="0" w:space="0" w:color="auto"/>
            <w:bottom w:val="none" w:sz="0" w:space="0" w:color="auto"/>
            <w:right w:val="none" w:sz="0" w:space="0" w:color="auto"/>
          </w:divBdr>
        </w:div>
        <w:div w:id="112529229">
          <w:marLeft w:val="0"/>
          <w:marRight w:val="0"/>
          <w:marTop w:val="0"/>
          <w:marBottom w:val="0"/>
          <w:divBdr>
            <w:top w:val="none" w:sz="0" w:space="0" w:color="auto"/>
            <w:left w:val="none" w:sz="0" w:space="0" w:color="auto"/>
            <w:bottom w:val="none" w:sz="0" w:space="0" w:color="auto"/>
            <w:right w:val="none" w:sz="0" w:space="0" w:color="auto"/>
          </w:divBdr>
        </w:div>
        <w:div w:id="2041473045">
          <w:marLeft w:val="0"/>
          <w:marRight w:val="0"/>
          <w:marTop w:val="0"/>
          <w:marBottom w:val="0"/>
          <w:divBdr>
            <w:top w:val="none" w:sz="0" w:space="0" w:color="auto"/>
            <w:left w:val="none" w:sz="0" w:space="0" w:color="auto"/>
            <w:bottom w:val="none" w:sz="0" w:space="0" w:color="auto"/>
            <w:right w:val="none" w:sz="0" w:space="0" w:color="auto"/>
          </w:divBdr>
        </w:div>
        <w:div w:id="257064291">
          <w:marLeft w:val="0"/>
          <w:marRight w:val="0"/>
          <w:marTop w:val="0"/>
          <w:marBottom w:val="0"/>
          <w:divBdr>
            <w:top w:val="none" w:sz="0" w:space="0" w:color="auto"/>
            <w:left w:val="none" w:sz="0" w:space="0" w:color="auto"/>
            <w:bottom w:val="none" w:sz="0" w:space="0" w:color="auto"/>
            <w:right w:val="none" w:sz="0" w:space="0" w:color="auto"/>
          </w:divBdr>
        </w:div>
        <w:div w:id="1820069436">
          <w:marLeft w:val="0"/>
          <w:marRight w:val="0"/>
          <w:marTop w:val="0"/>
          <w:marBottom w:val="0"/>
          <w:divBdr>
            <w:top w:val="none" w:sz="0" w:space="0" w:color="auto"/>
            <w:left w:val="none" w:sz="0" w:space="0" w:color="auto"/>
            <w:bottom w:val="none" w:sz="0" w:space="0" w:color="auto"/>
            <w:right w:val="none" w:sz="0" w:space="0" w:color="auto"/>
          </w:divBdr>
        </w:div>
        <w:div w:id="831916429">
          <w:marLeft w:val="0"/>
          <w:marRight w:val="0"/>
          <w:marTop w:val="0"/>
          <w:marBottom w:val="0"/>
          <w:divBdr>
            <w:top w:val="none" w:sz="0" w:space="0" w:color="auto"/>
            <w:left w:val="none" w:sz="0" w:space="0" w:color="auto"/>
            <w:bottom w:val="none" w:sz="0" w:space="0" w:color="auto"/>
            <w:right w:val="none" w:sz="0" w:space="0" w:color="auto"/>
          </w:divBdr>
        </w:div>
        <w:div w:id="1805342664">
          <w:marLeft w:val="0"/>
          <w:marRight w:val="0"/>
          <w:marTop w:val="0"/>
          <w:marBottom w:val="0"/>
          <w:divBdr>
            <w:top w:val="none" w:sz="0" w:space="0" w:color="auto"/>
            <w:left w:val="none" w:sz="0" w:space="0" w:color="auto"/>
            <w:bottom w:val="none" w:sz="0" w:space="0" w:color="auto"/>
            <w:right w:val="none" w:sz="0" w:space="0" w:color="auto"/>
          </w:divBdr>
        </w:div>
        <w:div w:id="1018652657">
          <w:marLeft w:val="0"/>
          <w:marRight w:val="0"/>
          <w:marTop w:val="0"/>
          <w:marBottom w:val="0"/>
          <w:divBdr>
            <w:top w:val="none" w:sz="0" w:space="0" w:color="auto"/>
            <w:left w:val="none" w:sz="0" w:space="0" w:color="auto"/>
            <w:bottom w:val="none" w:sz="0" w:space="0" w:color="auto"/>
            <w:right w:val="none" w:sz="0" w:space="0" w:color="auto"/>
          </w:divBdr>
        </w:div>
        <w:div w:id="774515988">
          <w:marLeft w:val="0"/>
          <w:marRight w:val="0"/>
          <w:marTop w:val="0"/>
          <w:marBottom w:val="0"/>
          <w:divBdr>
            <w:top w:val="none" w:sz="0" w:space="0" w:color="auto"/>
            <w:left w:val="none" w:sz="0" w:space="0" w:color="auto"/>
            <w:bottom w:val="none" w:sz="0" w:space="0" w:color="auto"/>
            <w:right w:val="none" w:sz="0" w:space="0" w:color="auto"/>
          </w:divBdr>
        </w:div>
        <w:div w:id="1623878535">
          <w:marLeft w:val="0"/>
          <w:marRight w:val="0"/>
          <w:marTop w:val="0"/>
          <w:marBottom w:val="0"/>
          <w:divBdr>
            <w:top w:val="none" w:sz="0" w:space="0" w:color="auto"/>
            <w:left w:val="none" w:sz="0" w:space="0" w:color="auto"/>
            <w:bottom w:val="none" w:sz="0" w:space="0" w:color="auto"/>
            <w:right w:val="none" w:sz="0" w:space="0" w:color="auto"/>
          </w:divBdr>
        </w:div>
        <w:div w:id="1257405786">
          <w:marLeft w:val="0"/>
          <w:marRight w:val="0"/>
          <w:marTop w:val="0"/>
          <w:marBottom w:val="0"/>
          <w:divBdr>
            <w:top w:val="none" w:sz="0" w:space="0" w:color="auto"/>
            <w:left w:val="none" w:sz="0" w:space="0" w:color="auto"/>
            <w:bottom w:val="none" w:sz="0" w:space="0" w:color="auto"/>
            <w:right w:val="none" w:sz="0" w:space="0" w:color="auto"/>
          </w:divBdr>
        </w:div>
        <w:div w:id="610013043">
          <w:marLeft w:val="0"/>
          <w:marRight w:val="0"/>
          <w:marTop w:val="0"/>
          <w:marBottom w:val="0"/>
          <w:divBdr>
            <w:top w:val="none" w:sz="0" w:space="0" w:color="auto"/>
            <w:left w:val="none" w:sz="0" w:space="0" w:color="auto"/>
            <w:bottom w:val="none" w:sz="0" w:space="0" w:color="auto"/>
            <w:right w:val="none" w:sz="0" w:space="0" w:color="auto"/>
          </w:divBdr>
        </w:div>
        <w:div w:id="1273896933">
          <w:marLeft w:val="0"/>
          <w:marRight w:val="0"/>
          <w:marTop w:val="0"/>
          <w:marBottom w:val="0"/>
          <w:divBdr>
            <w:top w:val="none" w:sz="0" w:space="0" w:color="auto"/>
            <w:left w:val="none" w:sz="0" w:space="0" w:color="auto"/>
            <w:bottom w:val="none" w:sz="0" w:space="0" w:color="auto"/>
            <w:right w:val="none" w:sz="0" w:space="0" w:color="auto"/>
          </w:divBdr>
        </w:div>
        <w:div w:id="741369381">
          <w:marLeft w:val="0"/>
          <w:marRight w:val="0"/>
          <w:marTop w:val="0"/>
          <w:marBottom w:val="0"/>
          <w:divBdr>
            <w:top w:val="none" w:sz="0" w:space="0" w:color="auto"/>
            <w:left w:val="none" w:sz="0" w:space="0" w:color="auto"/>
            <w:bottom w:val="none" w:sz="0" w:space="0" w:color="auto"/>
            <w:right w:val="none" w:sz="0" w:space="0" w:color="auto"/>
          </w:divBdr>
        </w:div>
        <w:div w:id="804664343">
          <w:marLeft w:val="0"/>
          <w:marRight w:val="0"/>
          <w:marTop w:val="0"/>
          <w:marBottom w:val="0"/>
          <w:divBdr>
            <w:top w:val="none" w:sz="0" w:space="0" w:color="auto"/>
            <w:left w:val="none" w:sz="0" w:space="0" w:color="auto"/>
            <w:bottom w:val="none" w:sz="0" w:space="0" w:color="auto"/>
            <w:right w:val="none" w:sz="0" w:space="0" w:color="auto"/>
          </w:divBdr>
        </w:div>
        <w:div w:id="1621106081">
          <w:marLeft w:val="0"/>
          <w:marRight w:val="0"/>
          <w:marTop w:val="0"/>
          <w:marBottom w:val="0"/>
          <w:divBdr>
            <w:top w:val="none" w:sz="0" w:space="0" w:color="auto"/>
            <w:left w:val="none" w:sz="0" w:space="0" w:color="auto"/>
            <w:bottom w:val="none" w:sz="0" w:space="0" w:color="auto"/>
            <w:right w:val="none" w:sz="0" w:space="0" w:color="auto"/>
          </w:divBdr>
        </w:div>
        <w:div w:id="1178033970">
          <w:marLeft w:val="0"/>
          <w:marRight w:val="0"/>
          <w:marTop w:val="0"/>
          <w:marBottom w:val="0"/>
          <w:divBdr>
            <w:top w:val="none" w:sz="0" w:space="0" w:color="auto"/>
            <w:left w:val="none" w:sz="0" w:space="0" w:color="auto"/>
            <w:bottom w:val="none" w:sz="0" w:space="0" w:color="auto"/>
            <w:right w:val="none" w:sz="0" w:space="0" w:color="auto"/>
          </w:divBdr>
        </w:div>
        <w:div w:id="601257848">
          <w:marLeft w:val="0"/>
          <w:marRight w:val="0"/>
          <w:marTop w:val="0"/>
          <w:marBottom w:val="0"/>
          <w:divBdr>
            <w:top w:val="none" w:sz="0" w:space="0" w:color="auto"/>
            <w:left w:val="none" w:sz="0" w:space="0" w:color="auto"/>
            <w:bottom w:val="none" w:sz="0" w:space="0" w:color="auto"/>
            <w:right w:val="none" w:sz="0" w:space="0" w:color="auto"/>
          </w:divBdr>
        </w:div>
        <w:div w:id="1489250823">
          <w:marLeft w:val="0"/>
          <w:marRight w:val="0"/>
          <w:marTop w:val="0"/>
          <w:marBottom w:val="0"/>
          <w:divBdr>
            <w:top w:val="none" w:sz="0" w:space="0" w:color="auto"/>
            <w:left w:val="none" w:sz="0" w:space="0" w:color="auto"/>
            <w:bottom w:val="none" w:sz="0" w:space="0" w:color="auto"/>
            <w:right w:val="none" w:sz="0" w:space="0" w:color="auto"/>
          </w:divBdr>
        </w:div>
        <w:div w:id="1925793807">
          <w:marLeft w:val="0"/>
          <w:marRight w:val="0"/>
          <w:marTop w:val="0"/>
          <w:marBottom w:val="0"/>
          <w:divBdr>
            <w:top w:val="none" w:sz="0" w:space="0" w:color="auto"/>
            <w:left w:val="none" w:sz="0" w:space="0" w:color="auto"/>
            <w:bottom w:val="none" w:sz="0" w:space="0" w:color="auto"/>
            <w:right w:val="none" w:sz="0" w:space="0" w:color="auto"/>
          </w:divBdr>
        </w:div>
        <w:div w:id="2093967032">
          <w:marLeft w:val="0"/>
          <w:marRight w:val="0"/>
          <w:marTop w:val="0"/>
          <w:marBottom w:val="0"/>
          <w:divBdr>
            <w:top w:val="none" w:sz="0" w:space="0" w:color="auto"/>
            <w:left w:val="none" w:sz="0" w:space="0" w:color="auto"/>
            <w:bottom w:val="none" w:sz="0" w:space="0" w:color="auto"/>
            <w:right w:val="none" w:sz="0" w:space="0" w:color="auto"/>
          </w:divBdr>
        </w:div>
        <w:div w:id="1331373917">
          <w:marLeft w:val="0"/>
          <w:marRight w:val="0"/>
          <w:marTop w:val="0"/>
          <w:marBottom w:val="0"/>
          <w:divBdr>
            <w:top w:val="none" w:sz="0" w:space="0" w:color="auto"/>
            <w:left w:val="none" w:sz="0" w:space="0" w:color="auto"/>
            <w:bottom w:val="none" w:sz="0" w:space="0" w:color="auto"/>
            <w:right w:val="none" w:sz="0" w:space="0" w:color="auto"/>
          </w:divBdr>
        </w:div>
        <w:div w:id="750854594">
          <w:marLeft w:val="0"/>
          <w:marRight w:val="0"/>
          <w:marTop w:val="0"/>
          <w:marBottom w:val="0"/>
          <w:divBdr>
            <w:top w:val="none" w:sz="0" w:space="0" w:color="auto"/>
            <w:left w:val="none" w:sz="0" w:space="0" w:color="auto"/>
            <w:bottom w:val="none" w:sz="0" w:space="0" w:color="auto"/>
            <w:right w:val="none" w:sz="0" w:space="0" w:color="auto"/>
          </w:divBdr>
        </w:div>
        <w:div w:id="343823203">
          <w:marLeft w:val="0"/>
          <w:marRight w:val="0"/>
          <w:marTop w:val="0"/>
          <w:marBottom w:val="0"/>
          <w:divBdr>
            <w:top w:val="none" w:sz="0" w:space="0" w:color="auto"/>
            <w:left w:val="none" w:sz="0" w:space="0" w:color="auto"/>
            <w:bottom w:val="none" w:sz="0" w:space="0" w:color="auto"/>
            <w:right w:val="none" w:sz="0" w:space="0" w:color="auto"/>
          </w:divBdr>
        </w:div>
        <w:div w:id="478352143">
          <w:marLeft w:val="0"/>
          <w:marRight w:val="0"/>
          <w:marTop w:val="0"/>
          <w:marBottom w:val="0"/>
          <w:divBdr>
            <w:top w:val="none" w:sz="0" w:space="0" w:color="auto"/>
            <w:left w:val="none" w:sz="0" w:space="0" w:color="auto"/>
            <w:bottom w:val="none" w:sz="0" w:space="0" w:color="auto"/>
            <w:right w:val="none" w:sz="0" w:space="0" w:color="auto"/>
          </w:divBdr>
        </w:div>
        <w:div w:id="991981619">
          <w:marLeft w:val="0"/>
          <w:marRight w:val="0"/>
          <w:marTop w:val="0"/>
          <w:marBottom w:val="0"/>
          <w:divBdr>
            <w:top w:val="none" w:sz="0" w:space="0" w:color="auto"/>
            <w:left w:val="none" w:sz="0" w:space="0" w:color="auto"/>
            <w:bottom w:val="none" w:sz="0" w:space="0" w:color="auto"/>
            <w:right w:val="none" w:sz="0" w:space="0" w:color="auto"/>
          </w:divBdr>
        </w:div>
        <w:div w:id="203181442">
          <w:marLeft w:val="0"/>
          <w:marRight w:val="0"/>
          <w:marTop w:val="0"/>
          <w:marBottom w:val="0"/>
          <w:divBdr>
            <w:top w:val="none" w:sz="0" w:space="0" w:color="auto"/>
            <w:left w:val="none" w:sz="0" w:space="0" w:color="auto"/>
            <w:bottom w:val="none" w:sz="0" w:space="0" w:color="auto"/>
            <w:right w:val="none" w:sz="0" w:space="0" w:color="auto"/>
          </w:divBdr>
        </w:div>
        <w:div w:id="617221220">
          <w:marLeft w:val="0"/>
          <w:marRight w:val="0"/>
          <w:marTop w:val="0"/>
          <w:marBottom w:val="0"/>
          <w:divBdr>
            <w:top w:val="none" w:sz="0" w:space="0" w:color="auto"/>
            <w:left w:val="none" w:sz="0" w:space="0" w:color="auto"/>
            <w:bottom w:val="none" w:sz="0" w:space="0" w:color="auto"/>
            <w:right w:val="none" w:sz="0" w:space="0" w:color="auto"/>
          </w:divBdr>
        </w:div>
        <w:div w:id="1841584559">
          <w:marLeft w:val="0"/>
          <w:marRight w:val="0"/>
          <w:marTop w:val="0"/>
          <w:marBottom w:val="0"/>
          <w:divBdr>
            <w:top w:val="none" w:sz="0" w:space="0" w:color="auto"/>
            <w:left w:val="none" w:sz="0" w:space="0" w:color="auto"/>
            <w:bottom w:val="none" w:sz="0" w:space="0" w:color="auto"/>
            <w:right w:val="none" w:sz="0" w:space="0" w:color="auto"/>
          </w:divBdr>
        </w:div>
        <w:div w:id="585380334">
          <w:marLeft w:val="0"/>
          <w:marRight w:val="0"/>
          <w:marTop w:val="0"/>
          <w:marBottom w:val="0"/>
          <w:divBdr>
            <w:top w:val="none" w:sz="0" w:space="0" w:color="auto"/>
            <w:left w:val="none" w:sz="0" w:space="0" w:color="auto"/>
            <w:bottom w:val="none" w:sz="0" w:space="0" w:color="auto"/>
            <w:right w:val="none" w:sz="0" w:space="0" w:color="auto"/>
          </w:divBdr>
        </w:div>
        <w:div w:id="417796754">
          <w:marLeft w:val="0"/>
          <w:marRight w:val="0"/>
          <w:marTop w:val="0"/>
          <w:marBottom w:val="0"/>
          <w:divBdr>
            <w:top w:val="none" w:sz="0" w:space="0" w:color="auto"/>
            <w:left w:val="none" w:sz="0" w:space="0" w:color="auto"/>
            <w:bottom w:val="none" w:sz="0" w:space="0" w:color="auto"/>
            <w:right w:val="none" w:sz="0" w:space="0" w:color="auto"/>
          </w:divBdr>
        </w:div>
        <w:div w:id="20254102">
          <w:marLeft w:val="0"/>
          <w:marRight w:val="0"/>
          <w:marTop w:val="0"/>
          <w:marBottom w:val="0"/>
          <w:divBdr>
            <w:top w:val="none" w:sz="0" w:space="0" w:color="auto"/>
            <w:left w:val="none" w:sz="0" w:space="0" w:color="auto"/>
            <w:bottom w:val="none" w:sz="0" w:space="0" w:color="auto"/>
            <w:right w:val="none" w:sz="0" w:space="0" w:color="auto"/>
          </w:divBdr>
        </w:div>
        <w:div w:id="1140535928">
          <w:marLeft w:val="0"/>
          <w:marRight w:val="0"/>
          <w:marTop w:val="0"/>
          <w:marBottom w:val="0"/>
          <w:divBdr>
            <w:top w:val="none" w:sz="0" w:space="0" w:color="auto"/>
            <w:left w:val="none" w:sz="0" w:space="0" w:color="auto"/>
            <w:bottom w:val="none" w:sz="0" w:space="0" w:color="auto"/>
            <w:right w:val="none" w:sz="0" w:space="0" w:color="auto"/>
          </w:divBdr>
        </w:div>
        <w:div w:id="1190023629">
          <w:marLeft w:val="0"/>
          <w:marRight w:val="0"/>
          <w:marTop w:val="0"/>
          <w:marBottom w:val="0"/>
          <w:divBdr>
            <w:top w:val="none" w:sz="0" w:space="0" w:color="auto"/>
            <w:left w:val="none" w:sz="0" w:space="0" w:color="auto"/>
            <w:bottom w:val="none" w:sz="0" w:space="0" w:color="auto"/>
            <w:right w:val="none" w:sz="0" w:space="0" w:color="auto"/>
          </w:divBdr>
        </w:div>
        <w:div w:id="1403405387">
          <w:marLeft w:val="0"/>
          <w:marRight w:val="0"/>
          <w:marTop w:val="0"/>
          <w:marBottom w:val="0"/>
          <w:divBdr>
            <w:top w:val="none" w:sz="0" w:space="0" w:color="auto"/>
            <w:left w:val="none" w:sz="0" w:space="0" w:color="auto"/>
            <w:bottom w:val="none" w:sz="0" w:space="0" w:color="auto"/>
            <w:right w:val="none" w:sz="0" w:space="0" w:color="auto"/>
          </w:divBdr>
        </w:div>
        <w:div w:id="37634270">
          <w:marLeft w:val="0"/>
          <w:marRight w:val="0"/>
          <w:marTop w:val="0"/>
          <w:marBottom w:val="0"/>
          <w:divBdr>
            <w:top w:val="none" w:sz="0" w:space="0" w:color="auto"/>
            <w:left w:val="none" w:sz="0" w:space="0" w:color="auto"/>
            <w:bottom w:val="none" w:sz="0" w:space="0" w:color="auto"/>
            <w:right w:val="none" w:sz="0" w:space="0" w:color="auto"/>
          </w:divBdr>
        </w:div>
        <w:div w:id="340009409">
          <w:marLeft w:val="0"/>
          <w:marRight w:val="0"/>
          <w:marTop w:val="0"/>
          <w:marBottom w:val="0"/>
          <w:divBdr>
            <w:top w:val="none" w:sz="0" w:space="0" w:color="auto"/>
            <w:left w:val="none" w:sz="0" w:space="0" w:color="auto"/>
            <w:bottom w:val="none" w:sz="0" w:space="0" w:color="auto"/>
            <w:right w:val="none" w:sz="0" w:space="0" w:color="auto"/>
          </w:divBdr>
        </w:div>
        <w:div w:id="1899512873">
          <w:marLeft w:val="0"/>
          <w:marRight w:val="0"/>
          <w:marTop w:val="0"/>
          <w:marBottom w:val="0"/>
          <w:divBdr>
            <w:top w:val="none" w:sz="0" w:space="0" w:color="auto"/>
            <w:left w:val="none" w:sz="0" w:space="0" w:color="auto"/>
            <w:bottom w:val="none" w:sz="0" w:space="0" w:color="auto"/>
            <w:right w:val="none" w:sz="0" w:space="0" w:color="auto"/>
          </w:divBdr>
        </w:div>
        <w:div w:id="1740052507">
          <w:marLeft w:val="0"/>
          <w:marRight w:val="0"/>
          <w:marTop w:val="0"/>
          <w:marBottom w:val="0"/>
          <w:divBdr>
            <w:top w:val="none" w:sz="0" w:space="0" w:color="auto"/>
            <w:left w:val="none" w:sz="0" w:space="0" w:color="auto"/>
            <w:bottom w:val="none" w:sz="0" w:space="0" w:color="auto"/>
            <w:right w:val="none" w:sz="0" w:space="0" w:color="auto"/>
          </w:divBdr>
        </w:div>
        <w:div w:id="1600286424">
          <w:marLeft w:val="0"/>
          <w:marRight w:val="0"/>
          <w:marTop w:val="0"/>
          <w:marBottom w:val="0"/>
          <w:divBdr>
            <w:top w:val="none" w:sz="0" w:space="0" w:color="auto"/>
            <w:left w:val="none" w:sz="0" w:space="0" w:color="auto"/>
            <w:bottom w:val="none" w:sz="0" w:space="0" w:color="auto"/>
            <w:right w:val="none" w:sz="0" w:space="0" w:color="auto"/>
          </w:divBdr>
        </w:div>
        <w:div w:id="100759260">
          <w:marLeft w:val="0"/>
          <w:marRight w:val="0"/>
          <w:marTop w:val="0"/>
          <w:marBottom w:val="0"/>
          <w:divBdr>
            <w:top w:val="none" w:sz="0" w:space="0" w:color="auto"/>
            <w:left w:val="none" w:sz="0" w:space="0" w:color="auto"/>
            <w:bottom w:val="none" w:sz="0" w:space="0" w:color="auto"/>
            <w:right w:val="none" w:sz="0" w:space="0" w:color="auto"/>
          </w:divBdr>
        </w:div>
        <w:div w:id="1862619762">
          <w:marLeft w:val="0"/>
          <w:marRight w:val="0"/>
          <w:marTop w:val="0"/>
          <w:marBottom w:val="0"/>
          <w:divBdr>
            <w:top w:val="none" w:sz="0" w:space="0" w:color="auto"/>
            <w:left w:val="none" w:sz="0" w:space="0" w:color="auto"/>
            <w:bottom w:val="none" w:sz="0" w:space="0" w:color="auto"/>
            <w:right w:val="none" w:sz="0" w:space="0" w:color="auto"/>
          </w:divBdr>
        </w:div>
        <w:div w:id="287054786">
          <w:marLeft w:val="0"/>
          <w:marRight w:val="0"/>
          <w:marTop w:val="0"/>
          <w:marBottom w:val="0"/>
          <w:divBdr>
            <w:top w:val="none" w:sz="0" w:space="0" w:color="auto"/>
            <w:left w:val="none" w:sz="0" w:space="0" w:color="auto"/>
            <w:bottom w:val="none" w:sz="0" w:space="0" w:color="auto"/>
            <w:right w:val="none" w:sz="0" w:space="0" w:color="auto"/>
          </w:divBdr>
        </w:div>
        <w:div w:id="1773357404">
          <w:marLeft w:val="0"/>
          <w:marRight w:val="0"/>
          <w:marTop w:val="0"/>
          <w:marBottom w:val="0"/>
          <w:divBdr>
            <w:top w:val="none" w:sz="0" w:space="0" w:color="auto"/>
            <w:left w:val="none" w:sz="0" w:space="0" w:color="auto"/>
            <w:bottom w:val="none" w:sz="0" w:space="0" w:color="auto"/>
            <w:right w:val="none" w:sz="0" w:space="0" w:color="auto"/>
          </w:divBdr>
        </w:div>
        <w:div w:id="1909876500">
          <w:marLeft w:val="0"/>
          <w:marRight w:val="0"/>
          <w:marTop w:val="0"/>
          <w:marBottom w:val="0"/>
          <w:divBdr>
            <w:top w:val="none" w:sz="0" w:space="0" w:color="auto"/>
            <w:left w:val="none" w:sz="0" w:space="0" w:color="auto"/>
            <w:bottom w:val="none" w:sz="0" w:space="0" w:color="auto"/>
            <w:right w:val="none" w:sz="0" w:space="0" w:color="auto"/>
          </w:divBdr>
        </w:div>
        <w:div w:id="552160596">
          <w:marLeft w:val="0"/>
          <w:marRight w:val="0"/>
          <w:marTop w:val="0"/>
          <w:marBottom w:val="0"/>
          <w:divBdr>
            <w:top w:val="none" w:sz="0" w:space="0" w:color="auto"/>
            <w:left w:val="none" w:sz="0" w:space="0" w:color="auto"/>
            <w:bottom w:val="none" w:sz="0" w:space="0" w:color="auto"/>
            <w:right w:val="none" w:sz="0" w:space="0" w:color="auto"/>
          </w:divBdr>
        </w:div>
        <w:div w:id="970786150">
          <w:marLeft w:val="0"/>
          <w:marRight w:val="0"/>
          <w:marTop w:val="0"/>
          <w:marBottom w:val="0"/>
          <w:divBdr>
            <w:top w:val="none" w:sz="0" w:space="0" w:color="auto"/>
            <w:left w:val="none" w:sz="0" w:space="0" w:color="auto"/>
            <w:bottom w:val="none" w:sz="0" w:space="0" w:color="auto"/>
            <w:right w:val="none" w:sz="0" w:space="0" w:color="auto"/>
          </w:divBdr>
        </w:div>
        <w:div w:id="458229904">
          <w:marLeft w:val="0"/>
          <w:marRight w:val="0"/>
          <w:marTop w:val="0"/>
          <w:marBottom w:val="0"/>
          <w:divBdr>
            <w:top w:val="none" w:sz="0" w:space="0" w:color="auto"/>
            <w:left w:val="none" w:sz="0" w:space="0" w:color="auto"/>
            <w:bottom w:val="none" w:sz="0" w:space="0" w:color="auto"/>
            <w:right w:val="none" w:sz="0" w:space="0" w:color="auto"/>
          </w:divBdr>
        </w:div>
        <w:div w:id="2124374283">
          <w:marLeft w:val="0"/>
          <w:marRight w:val="0"/>
          <w:marTop w:val="0"/>
          <w:marBottom w:val="0"/>
          <w:divBdr>
            <w:top w:val="none" w:sz="0" w:space="0" w:color="auto"/>
            <w:left w:val="none" w:sz="0" w:space="0" w:color="auto"/>
            <w:bottom w:val="none" w:sz="0" w:space="0" w:color="auto"/>
            <w:right w:val="none" w:sz="0" w:space="0" w:color="auto"/>
          </w:divBdr>
        </w:div>
        <w:div w:id="177814778">
          <w:marLeft w:val="0"/>
          <w:marRight w:val="0"/>
          <w:marTop w:val="0"/>
          <w:marBottom w:val="0"/>
          <w:divBdr>
            <w:top w:val="none" w:sz="0" w:space="0" w:color="auto"/>
            <w:left w:val="none" w:sz="0" w:space="0" w:color="auto"/>
            <w:bottom w:val="none" w:sz="0" w:space="0" w:color="auto"/>
            <w:right w:val="none" w:sz="0" w:space="0" w:color="auto"/>
          </w:divBdr>
        </w:div>
        <w:div w:id="1680741428">
          <w:marLeft w:val="0"/>
          <w:marRight w:val="0"/>
          <w:marTop w:val="0"/>
          <w:marBottom w:val="0"/>
          <w:divBdr>
            <w:top w:val="none" w:sz="0" w:space="0" w:color="auto"/>
            <w:left w:val="none" w:sz="0" w:space="0" w:color="auto"/>
            <w:bottom w:val="none" w:sz="0" w:space="0" w:color="auto"/>
            <w:right w:val="none" w:sz="0" w:space="0" w:color="auto"/>
          </w:divBdr>
        </w:div>
        <w:div w:id="691498744">
          <w:marLeft w:val="0"/>
          <w:marRight w:val="0"/>
          <w:marTop w:val="0"/>
          <w:marBottom w:val="0"/>
          <w:divBdr>
            <w:top w:val="none" w:sz="0" w:space="0" w:color="auto"/>
            <w:left w:val="none" w:sz="0" w:space="0" w:color="auto"/>
            <w:bottom w:val="none" w:sz="0" w:space="0" w:color="auto"/>
            <w:right w:val="none" w:sz="0" w:space="0" w:color="auto"/>
          </w:divBdr>
        </w:div>
        <w:div w:id="957680439">
          <w:marLeft w:val="0"/>
          <w:marRight w:val="0"/>
          <w:marTop w:val="0"/>
          <w:marBottom w:val="0"/>
          <w:divBdr>
            <w:top w:val="none" w:sz="0" w:space="0" w:color="auto"/>
            <w:left w:val="none" w:sz="0" w:space="0" w:color="auto"/>
            <w:bottom w:val="none" w:sz="0" w:space="0" w:color="auto"/>
            <w:right w:val="none" w:sz="0" w:space="0" w:color="auto"/>
          </w:divBdr>
        </w:div>
        <w:div w:id="974799937">
          <w:marLeft w:val="0"/>
          <w:marRight w:val="0"/>
          <w:marTop w:val="0"/>
          <w:marBottom w:val="0"/>
          <w:divBdr>
            <w:top w:val="none" w:sz="0" w:space="0" w:color="auto"/>
            <w:left w:val="none" w:sz="0" w:space="0" w:color="auto"/>
            <w:bottom w:val="none" w:sz="0" w:space="0" w:color="auto"/>
            <w:right w:val="none" w:sz="0" w:space="0" w:color="auto"/>
          </w:divBdr>
        </w:div>
        <w:div w:id="421803189">
          <w:marLeft w:val="0"/>
          <w:marRight w:val="0"/>
          <w:marTop w:val="0"/>
          <w:marBottom w:val="0"/>
          <w:divBdr>
            <w:top w:val="none" w:sz="0" w:space="0" w:color="auto"/>
            <w:left w:val="none" w:sz="0" w:space="0" w:color="auto"/>
            <w:bottom w:val="none" w:sz="0" w:space="0" w:color="auto"/>
            <w:right w:val="none" w:sz="0" w:space="0" w:color="auto"/>
          </w:divBdr>
        </w:div>
        <w:div w:id="187378270">
          <w:marLeft w:val="0"/>
          <w:marRight w:val="0"/>
          <w:marTop w:val="0"/>
          <w:marBottom w:val="0"/>
          <w:divBdr>
            <w:top w:val="none" w:sz="0" w:space="0" w:color="auto"/>
            <w:left w:val="none" w:sz="0" w:space="0" w:color="auto"/>
            <w:bottom w:val="none" w:sz="0" w:space="0" w:color="auto"/>
            <w:right w:val="none" w:sz="0" w:space="0" w:color="auto"/>
          </w:divBdr>
        </w:div>
        <w:div w:id="1730151159">
          <w:marLeft w:val="0"/>
          <w:marRight w:val="0"/>
          <w:marTop w:val="0"/>
          <w:marBottom w:val="0"/>
          <w:divBdr>
            <w:top w:val="none" w:sz="0" w:space="0" w:color="auto"/>
            <w:left w:val="none" w:sz="0" w:space="0" w:color="auto"/>
            <w:bottom w:val="none" w:sz="0" w:space="0" w:color="auto"/>
            <w:right w:val="none" w:sz="0" w:space="0" w:color="auto"/>
          </w:divBdr>
        </w:div>
        <w:div w:id="892161640">
          <w:marLeft w:val="0"/>
          <w:marRight w:val="0"/>
          <w:marTop w:val="0"/>
          <w:marBottom w:val="0"/>
          <w:divBdr>
            <w:top w:val="none" w:sz="0" w:space="0" w:color="auto"/>
            <w:left w:val="none" w:sz="0" w:space="0" w:color="auto"/>
            <w:bottom w:val="none" w:sz="0" w:space="0" w:color="auto"/>
            <w:right w:val="none" w:sz="0" w:space="0" w:color="auto"/>
          </w:divBdr>
        </w:div>
        <w:div w:id="1759963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DA7606B94E828066B8D77C9EF73DF3216A7582920A7EDDFF3C74D53D4EB553987FB326D6DA2EA29Dj0h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2671</Words>
  <Characters>15231</Characters>
  <Application>Microsoft Office Word</Application>
  <DocSecurity>0</DocSecurity>
  <Lines>126</Lines>
  <Paragraphs>35</Paragraphs>
  <ScaleCrop>false</ScaleCrop>
  <Company/>
  <LinksUpToDate>false</LinksUpToDate>
  <CharactersWithSpaces>17867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akalashnikova</dc:creator>
  <cp:keywords/>
  <dc:description/>
  <cp:lastModifiedBy>akalashnikova</cp:lastModifiedBy>
  <cp:revision>2</cp:revision>
  <dcterms:created xsi:type="dcterms:W3CDTF">2014-03-21T10:09:00Z</dcterms:created>
  <dcterms:modified xsi:type="dcterms:W3CDTF">2014-03-21T10:10:00Z</dcterms:modified>
</cp:coreProperties>
</file>